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288" w:rsidRDefault="001C3288">
      <w:r>
        <w:rPr>
          <w:b/>
        </w:rPr>
        <w:t>Analysis of Feasibility Survey</w:t>
      </w:r>
    </w:p>
    <w:p w:rsidR="001C3288" w:rsidRDefault="001C3288" w:rsidP="00C16BED">
      <w:pPr>
        <w:ind w:firstLine="720"/>
      </w:pPr>
      <w:r>
        <w:t xml:space="preserve">Table </w:t>
      </w:r>
      <w:r w:rsidR="00FE39DC">
        <w:t>1</w:t>
      </w:r>
      <w:r>
        <w:t xml:space="preserve"> presents a summary of the feasibility survey completed by the 7 scorers who took part in the exercise.</w:t>
      </w:r>
      <w:r w:rsidR="007A38D5">
        <w:t xml:space="preserve">  All questions were rated on a scale of 1 (strongly disagree) to 6 (strongly agree). In questions 1-4 respondents were asked to evalu</w:t>
      </w:r>
      <w:r w:rsidR="00C16BED">
        <w:t>ate the connection between QR and argument in general—not specifically with our rubric.  In questions 5-13 they were asked to respond to the particulars of our rubric.</w:t>
      </w:r>
    </w:p>
    <w:p w:rsidR="00C16BED" w:rsidRDefault="00C16BED">
      <w:r>
        <w:tab/>
      </w:r>
      <w:proofErr w:type="gramStart"/>
      <w:r>
        <w:t>Responses to question 1 show nearly unanimous strong agreement that communication is a key element of QR.</w:t>
      </w:r>
      <w:proofErr w:type="gramEnd"/>
      <w:r>
        <w:t xml:space="preserve">  Respondents reported similarly strong agreement that successful QR education should be evidenced in student written work (question 3) and thus that we should look to see how QR is or is not playing out in student papers (question 4).  However, while generally agreeing, respondents were less confident that our rhetorical approach would draw in colleagues from ALH (question 2).  This may in part reflect the fact that we had few ALH folks in the group and so it would be hard to assess whether the approach was appealing to that population.</w:t>
      </w:r>
    </w:p>
    <w:p w:rsidR="001C3288" w:rsidRDefault="001C3288"/>
    <w:p w:rsidR="001C3288" w:rsidRPr="001C3288" w:rsidRDefault="001C3288">
      <w:pPr>
        <w:rPr>
          <w:b/>
        </w:rPr>
      </w:pPr>
      <w:proofErr w:type="gramStart"/>
      <w:r w:rsidRPr="001C3288">
        <w:rPr>
          <w:b/>
        </w:rPr>
        <w:t xml:space="preserve">Table </w:t>
      </w:r>
      <w:r w:rsidR="00FE39DC">
        <w:rPr>
          <w:b/>
        </w:rPr>
        <w:t>1</w:t>
      </w:r>
      <w:r>
        <w:rPr>
          <w:b/>
        </w:rPr>
        <w:t>.</w:t>
      </w:r>
      <w:proofErr w:type="gramEnd"/>
      <w:r>
        <w:rPr>
          <w:b/>
        </w:rPr>
        <w:t xml:space="preserve">  Summary of agreement/disagreement responses to feasibility 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1C3288" w:rsidTr="00443398">
        <w:tc>
          <w:tcPr>
            <w:tcW w:w="1915" w:type="dxa"/>
            <w:tcBorders>
              <w:top w:val="double" w:sz="4" w:space="0" w:color="auto"/>
              <w:bottom w:val="single" w:sz="4" w:space="0" w:color="000000" w:themeColor="text1"/>
            </w:tcBorders>
          </w:tcPr>
          <w:p w:rsidR="001C3288" w:rsidRDefault="001C3288" w:rsidP="001C3288">
            <w:pPr>
              <w:jc w:val="center"/>
            </w:pPr>
            <w:r>
              <w:t>Mean</w:t>
            </w:r>
          </w:p>
        </w:tc>
        <w:tc>
          <w:tcPr>
            <w:tcW w:w="1915" w:type="dxa"/>
            <w:tcBorders>
              <w:top w:val="double" w:sz="4" w:space="0" w:color="auto"/>
              <w:bottom w:val="single" w:sz="4" w:space="0" w:color="000000" w:themeColor="text1"/>
            </w:tcBorders>
          </w:tcPr>
          <w:p w:rsidR="001C3288" w:rsidRDefault="001C3288" w:rsidP="001C3288">
            <w:pPr>
              <w:jc w:val="center"/>
            </w:pPr>
            <w:r>
              <w:t>Mode</w:t>
            </w:r>
          </w:p>
        </w:tc>
        <w:tc>
          <w:tcPr>
            <w:tcW w:w="1915" w:type="dxa"/>
            <w:tcBorders>
              <w:top w:val="double" w:sz="4" w:space="0" w:color="auto"/>
              <w:bottom w:val="single" w:sz="4" w:space="0" w:color="000000" w:themeColor="text1"/>
            </w:tcBorders>
          </w:tcPr>
          <w:p w:rsidR="001C3288" w:rsidRDefault="001C3288" w:rsidP="001C3288">
            <w:pPr>
              <w:jc w:val="center"/>
            </w:pPr>
            <w:r>
              <w:t>75</w:t>
            </w:r>
            <w:r w:rsidRPr="001C3288">
              <w:rPr>
                <w:vertAlign w:val="superscript"/>
              </w:rPr>
              <w:t>th</w:t>
            </w:r>
            <w:r>
              <w:t xml:space="preserve"> Percentile</w:t>
            </w:r>
          </w:p>
        </w:tc>
        <w:tc>
          <w:tcPr>
            <w:tcW w:w="1915" w:type="dxa"/>
            <w:tcBorders>
              <w:top w:val="double" w:sz="4" w:space="0" w:color="auto"/>
              <w:bottom w:val="single" w:sz="4" w:space="0" w:color="000000" w:themeColor="text1"/>
            </w:tcBorders>
          </w:tcPr>
          <w:p w:rsidR="001C3288" w:rsidRDefault="001C3288" w:rsidP="001C3288">
            <w:pPr>
              <w:jc w:val="center"/>
            </w:pPr>
            <w:r>
              <w:t>Median</w:t>
            </w:r>
          </w:p>
        </w:tc>
        <w:tc>
          <w:tcPr>
            <w:tcW w:w="1916" w:type="dxa"/>
            <w:tcBorders>
              <w:top w:val="double" w:sz="4" w:space="0" w:color="auto"/>
              <w:bottom w:val="single" w:sz="4" w:space="0" w:color="000000" w:themeColor="text1"/>
            </w:tcBorders>
          </w:tcPr>
          <w:p w:rsidR="001C3288" w:rsidRDefault="001C3288" w:rsidP="001C3288">
            <w:pPr>
              <w:jc w:val="center"/>
            </w:pPr>
            <w:r>
              <w:t>25</w:t>
            </w:r>
            <w:r w:rsidRPr="001C3288">
              <w:rPr>
                <w:vertAlign w:val="superscript"/>
              </w:rPr>
              <w:t>th</w:t>
            </w:r>
            <w:r>
              <w:t xml:space="preserve"> Percentile</w:t>
            </w:r>
          </w:p>
        </w:tc>
      </w:tr>
      <w:tr w:rsidR="001C3288" w:rsidRPr="00443398" w:rsidTr="00443398">
        <w:tc>
          <w:tcPr>
            <w:tcW w:w="9576" w:type="dxa"/>
            <w:gridSpan w:val="5"/>
            <w:tcBorders>
              <w:top w:val="single" w:sz="4" w:space="0" w:color="000000" w:themeColor="text1"/>
            </w:tcBorders>
          </w:tcPr>
          <w:p w:rsidR="001C3288" w:rsidRPr="00443398" w:rsidRDefault="00443398">
            <w:pPr>
              <w:rPr>
                <w:i/>
                <w:color w:val="000000"/>
                <w:sz w:val="22"/>
                <w:szCs w:val="22"/>
              </w:rPr>
            </w:pPr>
            <w:r>
              <w:rPr>
                <w:i/>
                <w:color w:val="000000"/>
                <w:sz w:val="22"/>
                <w:szCs w:val="22"/>
              </w:rPr>
              <w:t xml:space="preserve">1. </w:t>
            </w:r>
            <w:r w:rsidR="001C3288" w:rsidRPr="00443398">
              <w:rPr>
                <w:i/>
                <w:color w:val="000000"/>
                <w:sz w:val="22"/>
                <w:szCs w:val="22"/>
              </w:rPr>
              <w:t>Communication plays a significant role in what it means to be quantitatively literate.</w:t>
            </w:r>
          </w:p>
        </w:tc>
      </w:tr>
      <w:tr w:rsidR="00443398" w:rsidTr="00443398">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5.857143</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c>
          <w:tcPr>
            <w:tcW w:w="1916"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r>
      <w:tr w:rsidR="001C3288" w:rsidRPr="00443398" w:rsidTr="00443398">
        <w:tc>
          <w:tcPr>
            <w:tcW w:w="9576" w:type="dxa"/>
            <w:gridSpan w:val="5"/>
          </w:tcPr>
          <w:p w:rsidR="00443398" w:rsidRDefault="00443398">
            <w:pPr>
              <w:rPr>
                <w:i/>
                <w:color w:val="000000"/>
                <w:sz w:val="22"/>
                <w:szCs w:val="22"/>
              </w:rPr>
            </w:pPr>
          </w:p>
          <w:p w:rsidR="001C3288" w:rsidRPr="00443398" w:rsidRDefault="00443398">
            <w:pPr>
              <w:rPr>
                <w:i/>
                <w:color w:val="000000"/>
                <w:sz w:val="22"/>
                <w:szCs w:val="22"/>
              </w:rPr>
            </w:pPr>
            <w:r>
              <w:rPr>
                <w:i/>
                <w:color w:val="000000"/>
                <w:sz w:val="22"/>
                <w:szCs w:val="22"/>
              </w:rPr>
              <w:t xml:space="preserve">2. </w:t>
            </w:r>
            <w:r w:rsidR="001C3288" w:rsidRPr="00443398">
              <w:rPr>
                <w:i/>
                <w:color w:val="000000"/>
                <w:sz w:val="22"/>
                <w:szCs w:val="22"/>
              </w:rPr>
              <w:t xml:space="preserve">Emphasizing the rhetorical aspects or approach to QR increases the likelihood that colleagues in the arts, literature, and humanities will teach QR practice. </w:t>
            </w:r>
          </w:p>
        </w:tc>
      </w:tr>
      <w:tr w:rsidR="00443398" w:rsidTr="00443398">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4.428571</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w:t>
            </w:r>
          </w:p>
        </w:tc>
        <w:tc>
          <w:tcPr>
            <w:tcW w:w="1916"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w:t>
            </w:r>
          </w:p>
        </w:tc>
      </w:tr>
      <w:tr w:rsidR="001C3288" w:rsidRPr="00443398" w:rsidTr="00443398">
        <w:tc>
          <w:tcPr>
            <w:tcW w:w="9576" w:type="dxa"/>
            <w:gridSpan w:val="5"/>
          </w:tcPr>
          <w:p w:rsidR="00443398" w:rsidRDefault="00443398">
            <w:pPr>
              <w:rPr>
                <w:i/>
                <w:color w:val="000000"/>
                <w:sz w:val="22"/>
                <w:szCs w:val="22"/>
              </w:rPr>
            </w:pPr>
          </w:p>
          <w:p w:rsidR="001C3288" w:rsidRPr="00443398" w:rsidRDefault="00443398">
            <w:pPr>
              <w:rPr>
                <w:i/>
                <w:color w:val="000000"/>
                <w:sz w:val="22"/>
                <w:szCs w:val="22"/>
              </w:rPr>
            </w:pPr>
            <w:r>
              <w:rPr>
                <w:i/>
                <w:color w:val="000000"/>
                <w:sz w:val="22"/>
                <w:szCs w:val="22"/>
              </w:rPr>
              <w:t xml:space="preserve">3. </w:t>
            </w:r>
            <w:r w:rsidR="001C3288" w:rsidRPr="00443398">
              <w:rPr>
                <w:i/>
                <w:color w:val="000000"/>
                <w:sz w:val="22"/>
                <w:szCs w:val="22"/>
              </w:rPr>
              <w:t>If we are succeeding in our efforts to enhance students’ quantitative reasoning skills, we should see evidence of that in student written work.</w:t>
            </w:r>
          </w:p>
        </w:tc>
      </w:tr>
      <w:tr w:rsidR="00443398" w:rsidTr="00443398">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5.571429</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c>
          <w:tcPr>
            <w:tcW w:w="1916"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w:t>
            </w:r>
          </w:p>
        </w:tc>
      </w:tr>
      <w:tr w:rsidR="001C3288" w:rsidRPr="00443398" w:rsidTr="00443398">
        <w:tc>
          <w:tcPr>
            <w:tcW w:w="9576" w:type="dxa"/>
            <w:gridSpan w:val="5"/>
          </w:tcPr>
          <w:p w:rsidR="00443398" w:rsidRDefault="00443398" w:rsidP="00E05C77">
            <w:pPr>
              <w:rPr>
                <w:i/>
                <w:color w:val="000000"/>
                <w:sz w:val="22"/>
                <w:szCs w:val="22"/>
              </w:rPr>
            </w:pPr>
          </w:p>
          <w:p w:rsidR="001C3288" w:rsidRPr="00443398" w:rsidRDefault="00443398" w:rsidP="00E05C77">
            <w:pPr>
              <w:rPr>
                <w:i/>
                <w:color w:val="000000"/>
                <w:sz w:val="22"/>
                <w:szCs w:val="22"/>
              </w:rPr>
            </w:pPr>
            <w:r>
              <w:rPr>
                <w:i/>
                <w:color w:val="000000"/>
                <w:sz w:val="22"/>
                <w:szCs w:val="22"/>
              </w:rPr>
              <w:t xml:space="preserve">4. </w:t>
            </w:r>
            <w:r w:rsidR="001C3288" w:rsidRPr="00443398">
              <w:rPr>
                <w:i/>
                <w:color w:val="000000"/>
                <w:sz w:val="22"/>
                <w:szCs w:val="22"/>
              </w:rPr>
              <w:t>For a complete understanding of how well our students are doing in the area of QR, we should consider looking for evidence in student writing in addition to traditional quantitative assessment tests.</w:t>
            </w:r>
          </w:p>
        </w:tc>
      </w:tr>
      <w:tr w:rsidR="00443398" w:rsidTr="00443398">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5.714286</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c>
          <w:tcPr>
            <w:tcW w:w="1916"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5.5</w:t>
            </w:r>
          </w:p>
        </w:tc>
      </w:tr>
      <w:tr w:rsidR="001C3288" w:rsidRPr="00443398" w:rsidTr="00443398">
        <w:tc>
          <w:tcPr>
            <w:tcW w:w="9576" w:type="dxa"/>
            <w:gridSpan w:val="5"/>
          </w:tcPr>
          <w:p w:rsidR="00443398" w:rsidRDefault="00443398" w:rsidP="00E05C77">
            <w:pPr>
              <w:rPr>
                <w:i/>
                <w:color w:val="000000"/>
                <w:sz w:val="22"/>
                <w:szCs w:val="22"/>
              </w:rPr>
            </w:pPr>
          </w:p>
          <w:p w:rsidR="001C3288" w:rsidRPr="00443398" w:rsidRDefault="00443398" w:rsidP="00E05C77">
            <w:pPr>
              <w:rPr>
                <w:i/>
                <w:color w:val="000000"/>
                <w:sz w:val="22"/>
                <w:szCs w:val="22"/>
              </w:rPr>
            </w:pPr>
            <w:r>
              <w:rPr>
                <w:i/>
                <w:color w:val="000000"/>
                <w:sz w:val="22"/>
                <w:szCs w:val="22"/>
              </w:rPr>
              <w:t xml:space="preserve">5. </w:t>
            </w:r>
            <w:r w:rsidR="001C3288" w:rsidRPr="00443398">
              <w:rPr>
                <w:i/>
                <w:color w:val="000000"/>
                <w:sz w:val="22"/>
                <w:szCs w:val="22"/>
              </w:rPr>
              <w:t>Applying the rubric gave me important insights into how students are (or are not) using quantitative evidence in written arguments.</w:t>
            </w:r>
          </w:p>
        </w:tc>
      </w:tr>
      <w:tr w:rsidR="00443398" w:rsidTr="00443398">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4.571429</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w:t>
            </w:r>
          </w:p>
        </w:tc>
        <w:tc>
          <w:tcPr>
            <w:tcW w:w="1916"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4.5</w:t>
            </w:r>
          </w:p>
        </w:tc>
      </w:tr>
      <w:tr w:rsidR="001C3288" w:rsidRPr="00443398" w:rsidTr="00443398">
        <w:tc>
          <w:tcPr>
            <w:tcW w:w="9576" w:type="dxa"/>
            <w:gridSpan w:val="5"/>
          </w:tcPr>
          <w:p w:rsidR="00443398" w:rsidRDefault="00443398" w:rsidP="00E05C77">
            <w:pPr>
              <w:rPr>
                <w:i/>
                <w:color w:val="000000"/>
                <w:sz w:val="22"/>
                <w:szCs w:val="22"/>
              </w:rPr>
            </w:pPr>
          </w:p>
          <w:p w:rsidR="001C3288" w:rsidRPr="00443398" w:rsidRDefault="00443398" w:rsidP="00E05C77">
            <w:pPr>
              <w:rPr>
                <w:i/>
                <w:color w:val="000000"/>
                <w:sz w:val="22"/>
                <w:szCs w:val="22"/>
              </w:rPr>
            </w:pPr>
            <w:r>
              <w:rPr>
                <w:i/>
                <w:color w:val="000000"/>
                <w:sz w:val="22"/>
                <w:szCs w:val="22"/>
              </w:rPr>
              <w:t xml:space="preserve">6. </w:t>
            </w:r>
            <w:r w:rsidR="001C3288" w:rsidRPr="00443398">
              <w:rPr>
                <w:i/>
                <w:color w:val="000000"/>
                <w:sz w:val="22"/>
                <w:szCs w:val="22"/>
              </w:rPr>
              <w:t>After reading student work with the rubric, I have an idea for how I might alter one or more assignments to help students improve their QR skills.</w:t>
            </w:r>
          </w:p>
        </w:tc>
      </w:tr>
      <w:tr w:rsidR="00443398" w:rsidTr="00443398">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4.857143</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6</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w:t>
            </w:r>
          </w:p>
        </w:tc>
        <w:tc>
          <w:tcPr>
            <w:tcW w:w="1916"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w:t>
            </w:r>
          </w:p>
        </w:tc>
      </w:tr>
      <w:tr w:rsidR="001C3288" w:rsidRPr="00443398" w:rsidTr="00443398">
        <w:tc>
          <w:tcPr>
            <w:tcW w:w="9576" w:type="dxa"/>
            <w:gridSpan w:val="5"/>
          </w:tcPr>
          <w:p w:rsidR="00443398" w:rsidRDefault="00443398" w:rsidP="00E05C77">
            <w:pPr>
              <w:rPr>
                <w:i/>
                <w:color w:val="000000"/>
                <w:sz w:val="22"/>
                <w:szCs w:val="22"/>
              </w:rPr>
            </w:pPr>
          </w:p>
          <w:p w:rsidR="001C3288" w:rsidRPr="00443398" w:rsidRDefault="00443398" w:rsidP="00E05C77">
            <w:pPr>
              <w:rPr>
                <w:i/>
                <w:color w:val="000000"/>
                <w:sz w:val="22"/>
                <w:szCs w:val="22"/>
              </w:rPr>
            </w:pPr>
            <w:r>
              <w:rPr>
                <w:i/>
                <w:color w:val="000000"/>
                <w:sz w:val="22"/>
                <w:szCs w:val="22"/>
              </w:rPr>
              <w:t xml:space="preserve">7. </w:t>
            </w:r>
            <w:r w:rsidR="001C3288" w:rsidRPr="00443398">
              <w:rPr>
                <w:i/>
                <w:color w:val="000000"/>
                <w:sz w:val="22"/>
                <w:szCs w:val="22"/>
              </w:rPr>
              <w:t>Overall, I found the rubric easy enough to employ.</w:t>
            </w:r>
          </w:p>
        </w:tc>
      </w:tr>
      <w:tr w:rsidR="00443398" w:rsidTr="00443398">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3.428571</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3</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4.5</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3</w:t>
            </w:r>
          </w:p>
        </w:tc>
        <w:tc>
          <w:tcPr>
            <w:tcW w:w="1916"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2.5</w:t>
            </w:r>
          </w:p>
        </w:tc>
      </w:tr>
      <w:tr w:rsidR="001C3288" w:rsidRPr="00443398" w:rsidTr="00443398">
        <w:tc>
          <w:tcPr>
            <w:tcW w:w="9576" w:type="dxa"/>
            <w:gridSpan w:val="5"/>
          </w:tcPr>
          <w:p w:rsidR="00443398" w:rsidRDefault="00443398" w:rsidP="00E05C77">
            <w:pPr>
              <w:rPr>
                <w:i/>
                <w:color w:val="000000"/>
                <w:sz w:val="22"/>
                <w:szCs w:val="22"/>
              </w:rPr>
            </w:pPr>
          </w:p>
          <w:p w:rsidR="001C3288" w:rsidRPr="00443398" w:rsidRDefault="00443398" w:rsidP="00E05C77">
            <w:pPr>
              <w:rPr>
                <w:i/>
                <w:color w:val="000000"/>
                <w:sz w:val="22"/>
                <w:szCs w:val="22"/>
              </w:rPr>
            </w:pPr>
            <w:r>
              <w:rPr>
                <w:i/>
                <w:color w:val="000000"/>
                <w:sz w:val="22"/>
                <w:szCs w:val="22"/>
              </w:rPr>
              <w:t xml:space="preserve">8. </w:t>
            </w:r>
            <w:r w:rsidR="001C3288" w:rsidRPr="00443398">
              <w:rPr>
                <w:i/>
                <w:color w:val="000000"/>
                <w:sz w:val="22"/>
                <w:szCs w:val="22"/>
              </w:rPr>
              <w:t xml:space="preserve">I was able to distinguish between the categories of QR </w:t>
            </w:r>
            <w:r w:rsidR="001C3288" w:rsidRPr="00443398">
              <w:rPr>
                <w:i/>
                <w:color w:val="000000"/>
                <w:sz w:val="22"/>
                <w:szCs w:val="22"/>
                <w:u w:val="single"/>
              </w:rPr>
              <w:t>relevance</w:t>
            </w:r>
            <w:r w:rsidR="001C3288" w:rsidRPr="00443398">
              <w:rPr>
                <w:i/>
                <w:color w:val="000000"/>
                <w:sz w:val="22"/>
                <w:szCs w:val="22"/>
              </w:rPr>
              <w:t>.</w:t>
            </w:r>
          </w:p>
        </w:tc>
      </w:tr>
      <w:tr w:rsidR="00443398" w:rsidTr="00443398">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4.714286</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5.5</w:t>
            </w:r>
          </w:p>
        </w:tc>
        <w:tc>
          <w:tcPr>
            <w:tcW w:w="1915"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5</w:t>
            </w:r>
          </w:p>
        </w:tc>
        <w:tc>
          <w:tcPr>
            <w:tcW w:w="1916" w:type="dxa"/>
            <w:vAlign w:val="bottom"/>
          </w:tcPr>
          <w:p w:rsidR="00443398" w:rsidRDefault="00443398">
            <w:pPr>
              <w:jc w:val="right"/>
              <w:rPr>
                <w:rFonts w:ascii="Calibri" w:hAnsi="Calibri"/>
                <w:color w:val="000000"/>
                <w:sz w:val="22"/>
                <w:szCs w:val="22"/>
              </w:rPr>
            </w:pPr>
            <w:r>
              <w:rPr>
                <w:rFonts w:ascii="Calibri" w:hAnsi="Calibri"/>
                <w:color w:val="000000"/>
                <w:sz w:val="22"/>
                <w:szCs w:val="22"/>
              </w:rPr>
              <w:t>4</w:t>
            </w:r>
          </w:p>
        </w:tc>
      </w:tr>
      <w:tr w:rsidR="001C3288" w:rsidRPr="00443398" w:rsidTr="00443398">
        <w:tc>
          <w:tcPr>
            <w:tcW w:w="9576" w:type="dxa"/>
            <w:gridSpan w:val="5"/>
          </w:tcPr>
          <w:p w:rsidR="00443398" w:rsidRDefault="00443398" w:rsidP="00E05C77">
            <w:pPr>
              <w:rPr>
                <w:i/>
                <w:color w:val="000000"/>
                <w:sz w:val="22"/>
                <w:szCs w:val="22"/>
              </w:rPr>
            </w:pPr>
          </w:p>
          <w:p w:rsidR="001C3288" w:rsidRPr="00443398" w:rsidRDefault="00443398" w:rsidP="00E05C77">
            <w:pPr>
              <w:rPr>
                <w:i/>
                <w:color w:val="000000"/>
                <w:sz w:val="22"/>
                <w:szCs w:val="22"/>
              </w:rPr>
            </w:pPr>
            <w:r>
              <w:rPr>
                <w:i/>
                <w:color w:val="000000"/>
                <w:sz w:val="22"/>
                <w:szCs w:val="22"/>
              </w:rPr>
              <w:t xml:space="preserve">9. </w:t>
            </w:r>
            <w:r w:rsidR="001C3288" w:rsidRPr="00443398">
              <w:rPr>
                <w:i/>
                <w:color w:val="000000"/>
                <w:sz w:val="22"/>
                <w:szCs w:val="22"/>
              </w:rPr>
              <w:t xml:space="preserve">I was able to distinguish between the categories of QR </w:t>
            </w:r>
            <w:r w:rsidR="001C3288" w:rsidRPr="00443398">
              <w:rPr>
                <w:i/>
                <w:color w:val="000000"/>
                <w:sz w:val="22"/>
                <w:szCs w:val="22"/>
                <w:u w:val="single"/>
              </w:rPr>
              <w:t>extent</w:t>
            </w:r>
            <w:r w:rsidR="001C3288" w:rsidRPr="00443398">
              <w:rPr>
                <w:i/>
                <w:color w:val="000000"/>
                <w:sz w:val="22"/>
                <w:szCs w:val="22"/>
              </w:rPr>
              <w:t>.</w:t>
            </w:r>
          </w:p>
        </w:tc>
      </w:tr>
      <w:tr w:rsidR="00443398" w:rsidRPr="00443398" w:rsidTr="00443398">
        <w:tc>
          <w:tcPr>
            <w:tcW w:w="1915" w:type="dxa"/>
            <w:vAlign w:val="bottom"/>
          </w:tcPr>
          <w:p w:rsidR="00443398" w:rsidRPr="00443398" w:rsidRDefault="00443398">
            <w:pPr>
              <w:jc w:val="right"/>
              <w:rPr>
                <w:rFonts w:ascii="Calibri" w:hAnsi="Calibri"/>
                <w:color w:val="000000"/>
                <w:sz w:val="22"/>
                <w:szCs w:val="22"/>
              </w:rPr>
            </w:pPr>
            <w:r w:rsidRPr="00443398">
              <w:rPr>
                <w:rFonts w:ascii="Calibri" w:hAnsi="Calibri"/>
                <w:color w:val="000000"/>
                <w:sz w:val="22"/>
                <w:szCs w:val="22"/>
              </w:rPr>
              <w:t>5.142857</w:t>
            </w:r>
          </w:p>
        </w:tc>
        <w:tc>
          <w:tcPr>
            <w:tcW w:w="1915" w:type="dxa"/>
            <w:vAlign w:val="bottom"/>
          </w:tcPr>
          <w:p w:rsidR="00443398" w:rsidRPr="00443398" w:rsidRDefault="00443398">
            <w:pPr>
              <w:jc w:val="right"/>
              <w:rPr>
                <w:rFonts w:ascii="Calibri" w:hAnsi="Calibri"/>
                <w:color w:val="000000"/>
                <w:sz w:val="22"/>
                <w:szCs w:val="22"/>
              </w:rPr>
            </w:pPr>
            <w:r w:rsidRPr="00443398">
              <w:rPr>
                <w:rFonts w:ascii="Calibri" w:hAnsi="Calibri"/>
                <w:color w:val="000000"/>
                <w:sz w:val="22"/>
                <w:szCs w:val="22"/>
              </w:rPr>
              <w:t>6</w:t>
            </w:r>
          </w:p>
        </w:tc>
        <w:tc>
          <w:tcPr>
            <w:tcW w:w="1915" w:type="dxa"/>
            <w:vAlign w:val="bottom"/>
          </w:tcPr>
          <w:p w:rsidR="00443398" w:rsidRPr="00443398" w:rsidRDefault="00443398">
            <w:pPr>
              <w:jc w:val="right"/>
              <w:rPr>
                <w:rFonts w:ascii="Calibri" w:hAnsi="Calibri"/>
                <w:color w:val="000000"/>
                <w:sz w:val="22"/>
                <w:szCs w:val="22"/>
              </w:rPr>
            </w:pPr>
            <w:r w:rsidRPr="00443398">
              <w:rPr>
                <w:rFonts w:ascii="Calibri" w:hAnsi="Calibri"/>
                <w:color w:val="000000"/>
                <w:sz w:val="22"/>
                <w:szCs w:val="22"/>
              </w:rPr>
              <w:t>6</w:t>
            </w:r>
          </w:p>
        </w:tc>
        <w:tc>
          <w:tcPr>
            <w:tcW w:w="1915" w:type="dxa"/>
            <w:vAlign w:val="bottom"/>
          </w:tcPr>
          <w:p w:rsidR="00443398" w:rsidRPr="00443398" w:rsidRDefault="00443398">
            <w:pPr>
              <w:jc w:val="right"/>
              <w:rPr>
                <w:rFonts w:ascii="Calibri" w:hAnsi="Calibri"/>
                <w:color w:val="000000"/>
                <w:sz w:val="22"/>
                <w:szCs w:val="22"/>
              </w:rPr>
            </w:pPr>
            <w:r w:rsidRPr="00443398">
              <w:rPr>
                <w:rFonts w:ascii="Calibri" w:hAnsi="Calibri"/>
                <w:color w:val="000000"/>
                <w:sz w:val="22"/>
                <w:szCs w:val="22"/>
              </w:rPr>
              <w:t>5</w:t>
            </w:r>
          </w:p>
        </w:tc>
        <w:tc>
          <w:tcPr>
            <w:tcW w:w="1916" w:type="dxa"/>
            <w:vAlign w:val="bottom"/>
          </w:tcPr>
          <w:p w:rsidR="00443398" w:rsidRPr="00443398" w:rsidRDefault="00443398">
            <w:pPr>
              <w:jc w:val="right"/>
              <w:rPr>
                <w:rFonts w:ascii="Calibri" w:hAnsi="Calibri"/>
                <w:color w:val="000000"/>
                <w:sz w:val="22"/>
                <w:szCs w:val="22"/>
              </w:rPr>
            </w:pPr>
            <w:r w:rsidRPr="00443398">
              <w:rPr>
                <w:rFonts w:ascii="Calibri" w:hAnsi="Calibri"/>
                <w:color w:val="000000"/>
                <w:sz w:val="22"/>
                <w:szCs w:val="22"/>
              </w:rPr>
              <w:t>4.5</w:t>
            </w:r>
          </w:p>
        </w:tc>
      </w:tr>
      <w:tr w:rsidR="001C3288" w:rsidRPr="00443398" w:rsidTr="00443398">
        <w:tc>
          <w:tcPr>
            <w:tcW w:w="9576" w:type="dxa"/>
            <w:gridSpan w:val="5"/>
          </w:tcPr>
          <w:p w:rsidR="00443398" w:rsidRDefault="00443398" w:rsidP="00E05C77">
            <w:pPr>
              <w:rPr>
                <w:i/>
                <w:color w:val="000000"/>
                <w:sz w:val="22"/>
                <w:szCs w:val="22"/>
              </w:rPr>
            </w:pPr>
          </w:p>
          <w:p w:rsidR="001C3288" w:rsidRPr="00443398" w:rsidRDefault="00443398" w:rsidP="00E05C77">
            <w:pPr>
              <w:rPr>
                <w:i/>
                <w:color w:val="000000"/>
                <w:sz w:val="22"/>
                <w:szCs w:val="22"/>
              </w:rPr>
            </w:pPr>
            <w:r>
              <w:rPr>
                <w:i/>
                <w:color w:val="000000"/>
                <w:sz w:val="22"/>
                <w:szCs w:val="22"/>
              </w:rPr>
              <w:t xml:space="preserve">10. </w:t>
            </w:r>
            <w:r w:rsidR="001C3288" w:rsidRPr="00443398">
              <w:rPr>
                <w:i/>
                <w:color w:val="000000"/>
                <w:sz w:val="22"/>
                <w:szCs w:val="22"/>
              </w:rPr>
              <w:t xml:space="preserve">I was able to distinguish between the levels of </w:t>
            </w:r>
            <w:r w:rsidR="001C3288" w:rsidRPr="00443398">
              <w:rPr>
                <w:i/>
                <w:color w:val="000000"/>
                <w:sz w:val="22"/>
                <w:szCs w:val="22"/>
                <w:u w:val="single"/>
              </w:rPr>
              <w:t>quality</w:t>
            </w:r>
            <w:r w:rsidR="001C3288" w:rsidRPr="00443398">
              <w:rPr>
                <w:i/>
                <w:color w:val="000000"/>
                <w:sz w:val="22"/>
                <w:szCs w:val="22"/>
              </w:rPr>
              <w:t xml:space="preserve"> on papers which I deemed </w:t>
            </w:r>
            <w:r w:rsidR="001C3288" w:rsidRPr="00443398">
              <w:rPr>
                <w:i/>
                <w:color w:val="000000"/>
                <w:sz w:val="22"/>
                <w:szCs w:val="22"/>
                <w:u w:val="single"/>
              </w:rPr>
              <w:t xml:space="preserve">peripherally </w:t>
            </w:r>
            <w:r w:rsidR="001C3288" w:rsidRPr="00443398">
              <w:rPr>
                <w:i/>
                <w:color w:val="000000"/>
                <w:sz w:val="22"/>
                <w:szCs w:val="22"/>
                <w:u w:val="single"/>
              </w:rPr>
              <w:lastRenderedPageBreak/>
              <w:t>relevant</w:t>
            </w:r>
            <w:r w:rsidR="001C3288" w:rsidRPr="00443398">
              <w:rPr>
                <w:i/>
                <w:color w:val="000000"/>
                <w:sz w:val="22"/>
                <w:szCs w:val="22"/>
              </w:rPr>
              <w:t>.</w:t>
            </w:r>
          </w:p>
        </w:tc>
      </w:tr>
      <w:tr w:rsidR="001C3288" w:rsidTr="00443398">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lastRenderedPageBreak/>
              <w:t>4.666667</w:t>
            </w:r>
          </w:p>
        </w:tc>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4</w:t>
            </w:r>
          </w:p>
        </w:tc>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5</w:t>
            </w:r>
          </w:p>
        </w:tc>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4.5</w:t>
            </w:r>
          </w:p>
        </w:tc>
        <w:tc>
          <w:tcPr>
            <w:tcW w:w="1916"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4</w:t>
            </w:r>
          </w:p>
        </w:tc>
      </w:tr>
      <w:tr w:rsidR="001C3288" w:rsidRPr="00443398" w:rsidTr="00443398">
        <w:tc>
          <w:tcPr>
            <w:tcW w:w="9576" w:type="dxa"/>
            <w:gridSpan w:val="5"/>
          </w:tcPr>
          <w:p w:rsidR="00443398" w:rsidRDefault="00443398" w:rsidP="00E05C77">
            <w:pPr>
              <w:rPr>
                <w:i/>
                <w:color w:val="000000"/>
                <w:sz w:val="22"/>
                <w:szCs w:val="22"/>
              </w:rPr>
            </w:pPr>
          </w:p>
          <w:p w:rsidR="001C3288" w:rsidRPr="00443398" w:rsidRDefault="00443398" w:rsidP="00E05C77">
            <w:pPr>
              <w:rPr>
                <w:i/>
                <w:color w:val="000000"/>
                <w:sz w:val="22"/>
                <w:szCs w:val="22"/>
              </w:rPr>
            </w:pPr>
            <w:r>
              <w:rPr>
                <w:i/>
                <w:color w:val="000000"/>
                <w:sz w:val="22"/>
                <w:szCs w:val="22"/>
              </w:rPr>
              <w:t xml:space="preserve">11. </w:t>
            </w:r>
            <w:r w:rsidR="001C3288" w:rsidRPr="00443398">
              <w:rPr>
                <w:i/>
                <w:color w:val="000000"/>
                <w:sz w:val="22"/>
                <w:szCs w:val="22"/>
              </w:rPr>
              <w:t xml:space="preserve">I was able to distinguish between the levels of </w:t>
            </w:r>
            <w:r w:rsidR="001C3288" w:rsidRPr="00443398">
              <w:rPr>
                <w:i/>
                <w:color w:val="000000"/>
                <w:sz w:val="22"/>
                <w:szCs w:val="22"/>
                <w:u w:val="single"/>
              </w:rPr>
              <w:t>quality</w:t>
            </w:r>
            <w:r w:rsidR="001C3288" w:rsidRPr="00443398">
              <w:rPr>
                <w:i/>
                <w:color w:val="000000"/>
                <w:sz w:val="22"/>
                <w:szCs w:val="22"/>
              </w:rPr>
              <w:t xml:space="preserve"> on papers which I deemed to be </w:t>
            </w:r>
            <w:r w:rsidR="001C3288" w:rsidRPr="00443398">
              <w:rPr>
                <w:i/>
                <w:color w:val="000000"/>
                <w:sz w:val="22"/>
                <w:szCs w:val="22"/>
                <w:u w:val="single"/>
              </w:rPr>
              <w:t>centrally relevant</w:t>
            </w:r>
            <w:r w:rsidR="001C3288" w:rsidRPr="00443398">
              <w:rPr>
                <w:i/>
                <w:color w:val="000000"/>
                <w:sz w:val="22"/>
                <w:szCs w:val="22"/>
              </w:rPr>
              <w:t>.</w:t>
            </w:r>
          </w:p>
        </w:tc>
      </w:tr>
      <w:tr w:rsidR="001C3288" w:rsidTr="00443398">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4.285714</w:t>
            </w:r>
          </w:p>
        </w:tc>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4</w:t>
            </w:r>
          </w:p>
        </w:tc>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5</w:t>
            </w:r>
          </w:p>
        </w:tc>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4</w:t>
            </w:r>
          </w:p>
        </w:tc>
        <w:tc>
          <w:tcPr>
            <w:tcW w:w="1916"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4</w:t>
            </w:r>
          </w:p>
        </w:tc>
      </w:tr>
      <w:tr w:rsidR="001C3288" w:rsidRPr="00443398" w:rsidTr="00443398">
        <w:tc>
          <w:tcPr>
            <w:tcW w:w="9576" w:type="dxa"/>
            <w:gridSpan w:val="5"/>
          </w:tcPr>
          <w:p w:rsidR="00C16BED" w:rsidRDefault="00C16BED" w:rsidP="00E05C77">
            <w:pPr>
              <w:rPr>
                <w:i/>
                <w:color w:val="000000"/>
                <w:sz w:val="22"/>
                <w:szCs w:val="22"/>
              </w:rPr>
            </w:pPr>
          </w:p>
          <w:p w:rsidR="001C3288" w:rsidRPr="00443398" w:rsidRDefault="00443398" w:rsidP="00E05C77">
            <w:pPr>
              <w:rPr>
                <w:i/>
                <w:color w:val="000000"/>
                <w:sz w:val="22"/>
                <w:szCs w:val="22"/>
              </w:rPr>
            </w:pPr>
            <w:r>
              <w:rPr>
                <w:i/>
                <w:color w:val="000000"/>
                <w:sz w:val="22"/>
                <w:szCs w:val="22"/>
              </w:rPr>
              <w:t xml:space="preserve">13. </w:t>
            </w:r>
            <w:r w:rsidR="001C3288" w:rsidRPr="00443398">
              <w:rPr>
                <w:i/>
                <w:color w:val="000000"/>
                <w:sz w:val="22"/>
                <w:szCs w:val="22"/>
              </w:rPr>
              <w:t xml:space="preserve">It would be </w:t>
            </w:r>
            <w:r w:rsidR="001C3288" w:rsidRPr="00443398">
              <w:rPr>
                <w:i/>
                <w:color w:val="000000"/>
                <w:sz w:val="22"/>
                <w:szCs w:val="22"/>
                <w:u w:val="single"/>
              </w:rPr>
              <w:t>possible</w:t>
            </w:r>
            <w:r w:rsidR="001C3288" w:rsidRPr="00443398">
              <w:rPr>
                <w:i/>
                <w:color w:val="000000"/>
                <w:sz w:val="22"/>
                <w:szCs w:val="22"/>
              </w:rPr>
              <w:t xml:space="preserve"> to use a rubric like this one to assess student work at Wellesley.</w:t>
            </w:r>
          </w:p>
        </w:tc>
      </w:tr>
      <w:tr w:rsidR="001C3288" w:rsidTr="00443398">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5.142857</w:t>
            </w:r>
          </w:p>
        </w:tc>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5</w:t>
            </w:r>
          </w:p>
        </w:tc>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5.5</w:t>
            </w:r>
          </w:p>
        </w:tc>
        <w:tc>
          <w:tcPr>
            <w:tcW w:w="1915"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5</w:t>
            </w:r>
          </w:p>
        </w:tc>
        <w:tc>
          <w:tcPr>
            <w:tcW w:w="1916" w:type="dxa"/>
            <w:vAlign w:val="bottom"/>
          </w:tcPr>
          <w:p w:rsidR="001C3288" w:rsidRDefault="001C3288">
            <w:pPr>
              <w:jc w:val="right"/>
              <w:rPr>
                <w:rFonts w:ascii="Calibri" w:hAnsi="Calibri"/>
                <w:color w:val="000000"/>
                <w:sz w:val="22"/>
                <w:szCs w:val="22"/>
              </w:rPr>
            </w:pPr>
            <w:r>
              <w:rPr>
                <w:rFonts w:ascii="Calibri" w:hAnsi="Calibri"/>
                <w:color w:val="000000"/>
                <w:sz w:val="22"/>
                <w:szCs w:val="22"/>
              </w:rPr>
              <w:t>5</w:t>
            </w:r>
          </w:p>
        </w:tc>
      </w:tr>
      <w:tr w:rsidR="001C3288" w:rsidRPr="00443398" w:rsidTr="00443398">
        <w:tc>
          <w:tcPr>
            <w:tcW w:w="9576" w:type="dxa"/>
            <w:gridSpan w:val="5"/>
          </w:tcPr>
          <w:p w:rsidR="00443398" w:rsidRDefault="00443398" w:rsidP="00E05C77">
            <w:pPr>
              <w:rPr>
                <w:i/>
                <w:color w:val="000000"/>
                <w:sz w:val="22"/>
                <w:szCs w:val="22"/>
              </w:rPr>
            </w:pPr>
          </w:p>
          <w:p w:rsidR="001C3288" w:rsidRPr="00443398" w:rsidRDefault="00443398" w:rsidP="00E05C77">
            <w:pPr>
              <w:rPr>
                <w:i/>
                <w:color w:val="000000"/>
                <w:sz w:val="22"/>
                <w:szCs w:val="22"/>
              </w:rPr>
            </w:pPr>
            <w:r>
              <w:rPr>
                <w:i/>
                <w:color w:val="000000"/>
                <w:sz w:val="22"/>
                <w:szCs w:val="22"/>
              </w:rPr>
              <w:t xml:space="preserve">14. </w:t>
            </w:r>
            <w:r w:rsidR="001C3288" w:rsidRPr="00443398">
              <w:rPr>
                <w:i/>
                <w:color w:val="000000"/>
                <w:sz w:val="22"/>
                <w:szCs w:val="22"/>
              </w:rPr>
              <w:t xml:space="preserve">I would be </w:t>
            </w:r>
            <w:r w:rsidR="001C3288" w:rsidRPr="00443398">
              <w:rPr>
                <w:i/>
                <w:color w:val="000000"/>
                <w:sz w:val="22"/>
                <w:szCs w:val="22"/>
                <w:u w:val="single"/>
              </w:rPr>
              <w:t>useful</w:t>
            </w:r>
            <w:r w:rsidR="001C3288" w:rsidRPr="00443398">
              <w:rPr>
                <w:i/>
                <w:color w:val="000000"/>
                <w:sz w:val="22"/>
                <w:szCs w:val="22"/>
              </w:rPr>
              <w:t xml:space="preserve"> to use a rubric like this one to assess student work at Wellesley.</w:t>
            </w:r>
          </w:p>
        </w:tc>
      </w:tr>
      <w:tr w:rsidR="001C3288" w:rsidTr="00443398">
        <w:tc>
          <w:tcPr>
            <w:tcW w:w="1915" w:type="dxa"/>
            <w:tcBorders>
              <w:bottom w:val="double" w:sz="4" w:space="0" w:color="auto"/>
            </w:tcBorders>
            <w:vAlign w:val="bottom"/>
          </w:tcPr>
          <w:p w:rsidR="001C3288" w:rsidRDefault="001C3288">
            <w:pPr>
              <w:jc w:val="right"/>
              <w:rPr>
                <w:rFonts w:ascii="Calibri" w:hAnsi="Calibri"/>
                <w:color w:val="000000"/>
                <w:sz w:val="22"/>
                <w:szCs w:val="22"/>
              </w:rPr>
            </w:pPr>
            <w:r>
              <w:rPr>
                <w:rFonts w:ascii="Calibri" w:hAnsi="Calibri"/>
                <w:color w:val="000000"/>
                <w:sz w:val="22"/>
                <w:szCs w:val="22"/>
              </w:rPr>
              <w:t>4.857143</w:t>
            </w:r>
          </w:p>
        </w:tc>
        <w:tc>
          <w:tcPr>
            <w:tcW w:w="1915" w:type="dxa"/>
            <w:tcBorders>
              <w:bottom w:val="double" w:sz="4" w:space="0" w:color="auto"/>
            </w:tcBorders>
            <w:vAlign w:val="bottom"/>
          </w:tcPr>
          <w:p w:rsidR="001C3288" w:rsidRDefault="001C3288">
            <w:pPr>
              <w:jc w:val="right"/>
              <w:rPr>
                <w:rFonts w:ascii="Calibri" w:hAnsi="Calibri"/>
                <w:color w:val="000000"/>
                <w:sz w:val="22"/>
                <w:szCs w:val="22"/>
              </w:rPr>
            </w:pPr>
            <w:r>
              <w:rPr>
                <w:rFonts w:ascii="Calibri" w:hAnsi="Calibri"/>
                <w:color w:val="000000"/>
                <w:sz w:val="22"/>
                <w:szCs w:val="22"/>
              </w:rPr>
              <w:t>6</w:t>
            </w:r>
          </w:p>
        </w:tc>
        <w:tc>
          <w:tcPr>
            <w:tcW w:w="1915" w:type="dxa"/>
            <w:tcBorders>
              <w:bottom w:val="double" w:sz="4" w:space="0" w:color="auto"/>
            </w:tcBorders>
            <w:vAlign w:val="bottom"/>
          </w:tcPr>
          <w:p w:rsidR="001C3288" w:rsidRDefault="001C3288">
            <w:pPr>
              <w:jc w:val="right"/>
              <w:rPr>
                <w:rFonts w:ascii="Calibri" w:hAnsi="Calibri"/>
                <w:color w:val="000000"/>
                <w:sz w:val="22"/>
                <w:szCs w:val="22"/>
              </w:rPr>
            </w:pPr>
            <w:r>
              <w:rPr>
                <w:rFonts w:ascii="Calibri" w:hAnsi="Calibri"/>
                <w:color w:val="000000"/>
                <w:sz w:val="22"/>
                <w:szCs w:val="22"/>
              </w:rPr>
              <w:t>6</w:t>
            </w:r>
          </w:p>
        </w:tc>
        <w:tc>
          <w:tcPr>
            <w:tcW w:w="1915" w:type="dxa"/>
            <w:tcBorders>
              <w:bottom w:val="double" w:sz="4" w:space="0" w:color="auto"/>
            </w:tcBorders>
            <w:vAlign w:val="bottom"/>
          </w:tcPr>
          <w:p w:rsidR="001C3288" w:rsidRDefault="001C3288">
            <w:pPr>
              <w:jc w:val="right"/>
              <w:rPr>
                <w:rFonts w:ascii="Calibri" w:hAnsi="Calibri"/>
                <w:color w:val="000000"/>
                <w:sz w:val="22"/>
                <w:szCs w:val="22"/>
              </w:rPr>
            </w:pPr>
            <w:r>
              <w:rPr>
                <w:rFonts w:ascii="Calibri" w:hAnsi="Calibri"/>
                <w:color w:val="000000"/>
                <w:sz w:val="22"/>
                <w:szCs w:val="22"/>
              </w:rPr>
              <w:t>5</w:t>
            </w:r>
          </w:p>
        </w:tc>
        <w:tc>
          <w:tcPr>
            <w:tcW w:w="1916" w:type="dxa"/>
            <w:tcBorders>
              <w:bottom w:val="double" w:sz="4" w:space="0" w:color="auto"/>
            </w:tcBorders>
            <w:vAlign w:val="bottom"/>
          </w:tcPr>
          <w:p w:rsidR="001C3288" w:rsidRDefault="001C3288">
            <w:pPr>
              <w:jc w:val="right"/>
              <w:rPr>
                <w:rFonts w:ascii="Calibri" w:hAnsi="Calibri"/>
                <w:color w:val="000000"/>
                <w:sz w:val="22"/>
                <w:szCs w:val="22"/>
              </w:rPr>
            </w:pPr>
            <w:r>
              <w:rPr>
                <w:rFonts w:ascii="Calibri" w:hAnsi="Calibri"/>
                <w:color w:val="000000"/>
                <w:sz w:val="22"/>
                <w:szCs w:val="22"/>
              </w:rPr>
              <w:t>4</w:t>
            </w:r>
          </w:p>
        </w:tc>
      </w:tr>
    </w:tbl>
    <w:p w:rsidR="001C3288" w:rsidRDefault="001C3288"/>
    <w:p w:rsidR="00664E01" w:rsidRDefault="00C16BED">
      <w:r>
        <w:tab/>
        <w:t xml:space="preserve">Turning next to the questions which related specifically to our rubric, </w:t>
      </w:r>
      <w:r w:rsidR="00664E01">
        <w:t>respondents generally agreed that its application gave them important insights into student work (question 5) and that these insights were actionable—that they suggested ways in which assignments might be revised to improve QR on campus (question 6).  This confirms Carleton’s experience with the rubric as a successful formative tool.</w:t>
      </w:r>
    </w:p>
    <w:p w:rsidR="00C16BED" w:rsidRDefault="00664E01">
      <w:r>
        <w:tab/>
        <w:t xml:space="preserve">While scorers did not generally find the rubric easy to use (question 7), they reported that they were able to do so (questions 8-11).  Interestingly, the most difficultly appears to have come in assessing the quality of centrally relevant papers.  Qualitative responses suggest the difficulty was related to the fact that the rubric includes only 4 quality categories.  Scorers wanted more.  (This may also be an issue at Carleton where science papers seem to receive a disproportionate share of 4s.)  While it isn’t certain why scorers did not use more 3s to provide more scoring variation, one possible explanation is that they used 3s for central papers outside the sciences and then lacked a means of differentiating among sciences papers, all of which were deemed better than the non-science central QR papers.  If that is the case, then we may have an issue to resolve as it would seem that genre should not be so </w:t>
      </w:r>
      <w:proofErr w:type="gramStart"/>
      <w:r>
        <w:t>key</w:t>
      </w:r>
      <w:proofErr w:type="gramEnd"/>
      <w:r>
        <w:t xml:space="preserve"> in determining the quality of QR in argument.</w:t>
      </w:r>
    </w:p>
    <w:p w:rsidR="00664E01" w:rsidRDefault="00664E01">
      <w:r>
        <w:tab/>
        <w:t xml:space="preserve">Ultimately, scorers strongly agreed that it would be feasible to employ the rubric at Wellesley (question 12).  With a means score over 5 and no response lower than 5, participants reached consensus on this point. </w:t>
      </w:r>
      <w:r w:rsidR="00790968">
        <w:t xml:space="preserve"> When asked if it would be useful to do so (question 13), agreement was nearly as strong (mean just under 5 and only 1 person selecting a score less than 4).  </w:t>
      </w:r>
    </w:p>
    <w:p w:rsidR="00BC0F30" w:rsidRDefault="00BC0F30"/>
    <w:p w:rsidR="00BC0F30" w:rsidRDefault="00BC0F30" w:rsidP="00BC0F30">
      <w:pPr>
        <w:rPr>
          <w:b/>
        </w:rPr>
      </w:pPr>
      <w:r>
        <w:rPr>
          <w:b/>
        </w:rPr>
        <w:t>Analysis of Assessment Data</w:t>
      </w:r>
    </w:p>
    <w:p w:rsidR="00BC0F30" w:rsidRDefault="00E844B9">
      <w:pPr>
        <w:rPr>
          <w:i/>
        </w:rPr>
      </w:pPr>
      <w:r>
        <w:rPr>
          <w:i/>
        </w:rPr>
        <w:t>Limited Reliability Analysis</w:t>
      </w:r>
    </w:p>
    <w:p w:rsidR="00BA0A70" w:rsidRDefault="00E844B9" w:rsidP="00BA0A70">
      <w:pPr>
        <w:ind w:firstLine="720"/>
      </w:pPr>
      <w:r>
        <w:t xml:space="preserve">Only 23 papers were read by two readers so it is difficult to precisely estimate reliability—especially when looking at a subset of </w:t>
      </w:r>
      <w:r w:rsidR="00FE39DC">
        <w:t>papers like “centrally relevant</w:t>
      </w:r>
      <w:r>
        <w:t>”</w:t>
      </w:r>
      <w:r w:rsidR="00FE39DC">
        <w:t xml:space="preserve"> or even when excluding one of the seven scorers.  For what it is worth in this small sample, readers reached exact agreement about relevance 87.0% of the time (Cohen’s κ = 0.77).  Slightly lower agreement was found in extent of QR (76.2% agreement or κ = 0.50).  This all looks good.  </w:t>
      </w:r>
    </w:p>
    <w:p w:rsidR="00E844B9" w:rsidRDefault="00FE39DC" w:rsidP="00BA0A70">
      <w:pPr>
        <w:ind w:firstLine="720"/>
      </w:pPr>
      <w:r>
        <w:t>Unfortunately, readers did not agree well over quality (16.7% agreement or κ = -0.21).</w:t>
      </w:r>
      <w:r w:rsidR="00BA0A70">
        <w:t xml:space="preserve">  Table 2 shows the joint distribution of quality scores.  Not only do the readers achieve less exact agreement than one would expect by chance alone, they actually show a strong negative correction (-0.64) which is statistically significant!  It’s hard to make too much of this with the small sample of readers.  When scorers are removed one at a time, agreement sometimes increased.  But with such a small sample size it is hard to make much an argument for excluding </w:t>
      </w:r>
      <w:r w:rsidR="00BA0A70">
        <w:lastRenderedPageBreak/>
        <w:t xml:space="preserve">any one.  It also may be that the science-centric sample made it difficult for some readers to assess quality given their personal stats background.  I’m not sure if I mentioned in </w:t>
      </w:r>
      <w:proofErr w:type="spellStart"/>
      <w:r w:rsidR="00BA0A70">
        <w:t>norming</w:t>
      </w:r>
      <w:proofErr w:type="spellEnd"/>
      <w:r w:rsidR="00BA0A70">
        <w:t xml:space="preserve"> that it was okay to put a </w:t>
      </w:r>
      <w:proofErr w:type="spellStart"/>
      <w:r w:rsidR="00BA0A70">
        <w:t>paper back</w:t>
      </w:r>
      <w:proofErr w:type="spellEnd"/>
      <w:r w:rsidR="00BA0A70">
        <w:t>.  That may have been a mistake (but then again, given the sample, there may not have been much we could do about it.)  In total, the low quality reliability seems to be raise questions.  Is it not possible to achieve a common perspective in such a short time?  Is it not possible to have a cross-cutting group read largely science papers?</w:t>
      </w:r>
    </w:p>
    <w:p w:rsidR="00BA0A70" w:rsidRDefault="00BA0A70" w:rsidP="00BA0A70">
      <w:pPr>
        <w:ind w:firstLine="720"/>
      </w:pPr>
    </w:p>
    <w:p w:rsidR="00BA0A70" w:rsidRDefault="00BA0A70" w:rsidP="00BA0A70">
      <w:pPr>
        <w:rPr>
          <w:b/>
        </w:rPr>
      </w:pPr>
      <w:proofErr w:type="gramStart"/>
      <w:r>
        <w:rPr>
          <w:b/>
        </w:rPr>
        <w:t>Table 2.</w:t>
      </w:r>
      <w:proofErr w:type="gramEnd"/>
      <w:r>
        <w:rPr>
          <w:b/>
        </w:rPr>
        <w:t xml:space="preserve"> </w:t>
      </w:r>
      <w:proofErr w:type="gramStart"/>
      <w:r>
        <w:rPr>
          <w:b/>
        </w:rPr>
        <w:t>Distribution of quality scores given to papers read by two readers.</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BA0A70" w:rsidTr="00BA0A70">
        <w:tc>
          <w:tcPr>
            <w:tcW w:w="1915" w:type="dxa"/>
            <w:tcBorders>
              <w:top w:val="double" w:sz="4" w:space="0" w:color="auto"/>
            </w:tcBorders>
          </w:tcPr>
          <w:p w:rsidR="00BA0A70" w:rsidRDefault="00BA0A70" w:rsidP="00BA0A70">
            <w:pPr>
              <w:jc w:val="center"/>
              <w:rPr>
                <w:b/>
              </w:rPr>
            </w:pPr>
            <w:r>
              <w:rPr>
                <w:b/>
              </w:rPr>
              <w:t xml:space="preserve">Score Given by </w:t>
            </w:r>
          </w:p>
        </w:tc>
        <w:tc>
          <w:tcPr>
            <w:tcW w:w="7661" w:type="dxa"/>
            <w:gridSpan w:val="4"/>
            <w:tcBorders>
              <w:top w:val="double" w:sz="4" w:space="0" w:color="auto"/>
            </w:tcBorders>
          </w:tcPr>
          <w:p w:rsidR="00BA0A70" w:rsidRDefault="00BA0A70" w:rsidP="00BA0A70">
            <w:pPr>
              <w:jc w:val="center"/>
              <w:rPr>
                <w:b/>
              </w:rPr>
            </w:pPr>
            <w:r>
              <w:rPr>
                <w:b/>
              </w:rPr>
              <w:t>Score Given by Reader 2</w:t>
            </w:r>
          </w:p>
        </w:tc>
      </w:tr>
      <w:tr w:rsidR="00BA0A70" w:rsidTr="00BA0A70">
        <w:tc>
          <w:tcPr>
            <w:tcW w:w="1915" w:type="dxa"/>
          </w:tcPr>
          <w:p w:rsidR="00BA0A70" w:rsidRDefault="00BA0A70" w:rsidP="00BA0A70">
            <w:pPr>
              <w:jc w:val="center"/>
              <w:rPr>
                <w:b/>
              </w:rPr>
            </w:pPr>
            <w:r>
              <w:rPr>
                <w:b/>
              </w:rPr>
              <w:t>Reader 1</w:t>
            </w:r>
          </w:p>
        </w:tc>
        <w:tc>
          <w:tcPr>
            <w:tcW w:w="1915" w:type="dxa"/>
            <w:tcBorders>
              <w:bottom w:val="single" w:sz="4" w:space="0" w:color="000000" w:themeColor="text1"/>
            </w:tcBorders>
          </w:tcPr>
          <w:p w:rsidR="00BA0A70" w:rsidRDefault="00BA0A70" w:rsidP="00BA0A70">
            <w:pPr>
              <w:jc w:val="center"/>
              <w:rPr>
                <w:b/>
              </w:rPr>
            </w:pPr>
            <w:r>
              <w:rPr>
                <w:b/>
              </w:rPr>
              <w:t>1</w:t>
            </w:r>
          </w:p>
        </w:tc>
        <w:tc>
          <w:tcPr>
            <w:tcW w:w="1915" w:type="dxa"/>
            <w:tcBorders>
              <w:bottom w:val="single" w:sz="4" w:space="0" w:color="000000" w:themeColor="text1"/>
            </w:tcBorders>
          </w:tcPr>
          <w:p w:rsidR="00BA0A70" w:rsidRDefault="00BA0A70" w:rsidP="00BA0A70">
            <w:pPr>
              <w:jc w:val="center"/>
              <w:rPr>
                <w:b/>
              </w:rPr>
            </w:pPr>
            <w:r>
              <w:rPr>
                <w:b/>
              </w:rPr>
              <w:t>2</w:t>
            </w:r>
          </w:p>
        </w:tc>
        <w:tc>
          <w:tcPr>
            <w:tcW w:w="1915" w:type="dxa"/>
            <w:tcBorders>
              <w:bottom w:val="single" w:sz="4" w:space="0" w:color="000000" w:themeColor="text1"/>
            </w:tcBorders>
          </w:tcPr>
          <w:p w:rsidR="00BA0A70" w:rsidRDefault="00BA0A70" w:rsidP="00BA0A70">
            <w:pPr>
              <w:jc w:val="center"/>
              <w:rPr>
                <w:b/>
              </w:rPr>
            </w:pPr>
            <w:r>
              <w:rPr>
                <w:b/>
              </w:rPr>
              <w:t>3</w:t>
            </w:r>
          </w:p>
        </w:tc>
        <w:tc>
          <w:tcPr>
            <w:tcW w:w="1916" w:type="dxa"/>
            <w:tcBorders>
              <w:bottom w:val="single" w:sz="4" w:space="0" w:color="000000" w:themeColor="text1"/>
            </w:tcBorders>
          </w:tcPr>
          <w:p w:rsidR="00BA0A70" w:rsidRDefault="00BA0A70" w:rsidP="00BA0A70">
            <w:pPr>
              <w:jc w:val="center"/>
              <w:rPr>
                <w:b/>
              </w:rPr>
            </w:pPr>
            <w:r>
              <w:rPr>
                <w:b/>
              </w:rPr>
              <w:t>4</w:t>
            </w:r>
          </w:p>
        </w:tc>
      </w:tr>
      <w:tr w:rsidR="00BA0A70" w:rsidTr="00BA0A70">
        <w:tc>
          <w:tcPr>
            <w:tcW w:w="1915" w:type="dxa"/>
          </w:tcPr>
          <w:p w:rsidR="00BA0A70" w:rsidRDefault="00BA0A70" w:rsidP="00BA0A70">
            <w:pPr>
              <w:jc w:val="center"/>
              <w:rPr>
                <w:b/>
              </w:rPr>
            </w:pPr>
            <w:r>
              <w:rPr>
                <w:b/>
              </w:rPr>
              <w:t>1</w:t>
            </w:r>
          </w:p>
        </w:tc>
        <w:tc>
          <w:tcPr>
            <w:tcW w:w="1915" w:type="dxa"/>
            <w:tcBorders>
              <w:top w:val="single" w:sz="4" w:space="0" w:color="000000" w:themeColor="text1"/>
            </w:tcBorders>
          </w:tcPr>
          <w:p w:rsidR="00BA0A70" w:rsidRPr="00BA0A70" w:rsidRDefault="00BA0A70" w:rsidP="00BA0A70">
            <w:pPr>
              <w:jc w:val="center"/>
            </w:pPr>
            <w:r>
              <w:t>0</w:t>
            </w:r>
          </w:p>
        </w:tc>
        <w:tc>
          <w:tcPr>
            <w:tcW w:w="1915" w:type="dxa"/>
            <w:tcBorders>
              <w:top w:val="single" w:sz="4" w:space="0" w:color="000000" w:themeColor="text1"/>
            </w:tcBorders>
          </w:tcPr>
          <w:p w:rsidR="00BA0A70" w:rsidRPr="00BA0A70" w:rsidRDefault="00BA0A70" w:rsidP="00BA0A70">
            <w:pPr>
              <w:jc w:val="center"/>
            </w:pPr>
            <w:r>
              <w:t>0</w:t>
            </w:r>
          </w:p>
        </w:tc>
        <w:tc>
          <w:tcPr>
            <w:tcW w:w="1915" w:type="dxa"/>
            <w:tcBorders>
              <w:top w:val="single" w:sz="4" w:space="0" w:color="000000" w:themeColor="text1"/>
            </w:tcBorders>
          </w:tcPr>
          <w:p w:rsidR="00BA0A70" w:rsidRPr="00BA0A70" w:rsidRDefault="00BA0A70" w:rsidP="00BA0A70">
            <w:pPr>
              <w:jc w:val="center"/>
            </w:pPr>
            <w:r>
              <w:t>1</w:t>
            </w:r>
          </w:p>
        </w:tc>
        <w:tc>
          <w:tcPr>
            <w:tcW w:w="1916" w:type="dxa"/>
            <w:tcBorders>
              <w:top w:val="single" w:sz="4" w:space="0" w:color="000000" w:themeColor="text1"/>
            </w:tcBorders>
          </w:tcPr>
          <w:p w:rsidR="00BA0A70" w:rsidRPr="00BA0A70" w:rsidRDefault="00BA0A70" w:rsidP="00BA0A70">
            <w:pPr>
              <w:jc w:val="center"/>
            </w:pPr>
            <w:r>
              <w:t>1</w:t>
            </w:r>
          </w:p>
        </w:tc>
      </w:tr>
      <w:tr w:rsidR="00BA0A70" w:rsidTr="00BA0A70">
        <w:tc>
          <w:tcPr>
            <w:tcW w:w="1915" w:type="dxa"/>
          </w:tcPr>
          <w:p w:rsidR="00BA0A70" w:rsidRDefault="00BA0A70" w:rsidP="00BA0A70">
            <w:pPr>
              <w:jc w:val="center"/>
              <w:rPr>
                <w:b/>
              </w:rPr>
            </w:pPr>
            <w:r>
              <w:rPr>
                <w:b/>
              </w:rPr>
              <w:t>2</w:t>
            </w:r>
          </w:p>
        </w:tc>
        <w:tc>
          <w:tcPr>
            <w:tcW w:w="1915" w:type="dxa"/>
          </w:tcPr>
          <w:p w:rsidR="00BA0A70" w:rsidRPr="00BA0A70" w:rsidRDefault="00BA0A70" w:rsidP="00BA0A70">
            <w:pPr>
              <w:jc w:val="center"/>
            </w:pPr>
            <w:r>
              <w:t>0</w:t>
            </w:r>
          </w:p>
        </w:tc>
        <w:tc>
          <w:tcPr>
            <w:tcW w:w="1915" w:type="dxa"/>
          </w:tcPr>
          <w:p w:rsidR="00BA0A70" w:rsidRPr="00BA0A70" w:rsidRDefault="00BA0A70" w:rsidP="00BA0A70">
            <w:pPr>
              <w:jc w:val="center"/>
            </w:pPr>
            <w:r>
              <w:t>0</w:t>
            </w:r>
          </w:p>
        </w:tc>
        <w:tc>
          <w:tcPr>
            <w:tcW w:w="1915" w:type="dxa"/>
          </w:tcPr>
          <w:p w:rsidR="00BA0A70" w:rsidRPr="00BA0A70" w:rsidRDefault="00BA0A70" w:rsidP="00BA0A70">
            <w:pPr>
              <w:jc w:val="center"/>
            </w:pPr>
            <w:r>
              <w:t>3</w:t>
            </w:r>
          </w:p>
        </w:tc>
        <w:tc>
          <w:tcPr>
            <w:tcW w:w="1916" w:type="dxa"/>
          </w:tcPr>
          <w:p w:rsidR="00BA0A70" w:rsidRPr="00BA0A70" w:rsidRDefault="00BA0A70" w:rsidP="00BA0A70">
            <w:pPr>
              <w:jc w:val="center"/>
            </w:pPr>
            <w:r>
              <w:t>2</w:t>
            </w:r>
          </w:p>
        </w:tc>
      </w:tr>
      <w:tr w:rsidR="00BA0A70" w:rsidTr="00BA0A70">
        <w:tc>
          <w:tcPr>
            <w:tcW w:w="1915" w:type="dxa"/>
          </w:tcPr>
          <w:p w:rsidR="00BA0A70" w:rsidRDefault="00BA0A70" w:rsidP="00BA0A70">
            <w:pPr>
              <w:jc w:val="center"/>
              <w:rPr>
                <w:b/>
              </w:rPr>
            </w:pPr>
            <w:r>
              <w:rPr>
                <w:b/>
              </w:rPr>
              <w:t>3</w:t>
            </w:r>
          </w:p>
        </w:tc>
        <w:tc>
          <w:tcPr>
            <w:tcW w:w="1915" w:type="dxa"/>
          </w:tcPr>
          <w:p w:rsidR="00BA0A70" w:rsidRPr="00BA0A70" w:rsidRDefault="00BA0A70" w:rsidP="00BA0A70">
            <w:pPr>
              <w:jc w:val="center"/>
            </w:pPr>
            <w:r>
              <w:t>3</w:t>
            </w:r>
          </w:p>
        </w:tc>
        <w:tc>
          <w:tcPr>
            <w:tcW w:w="1915" w:type="dxa"/>
          </w:tcPr>
          <w:p w:rsidR="00BA0A70" w:rsidRPr="00BA0A70" w:rsidRDefault="00BA0A70" w:rsidP="00BA0A70">
            <w:pPr>
              <w:jc w:val="center"/>
            </w:pPr>
            <w:r>
              <w:t>3</w:t>
            </w:r>
          </w:p>
        </w:tc>
        <w:tc>
          <w:tcPr>
            <w:tcW w:w="1915" w:type="dxa"/>
          </w:tcPr>
          <w:p w:rsidR="00BA0A70" w:rsidRPr="00BA0A70" w:rsidRDefault="00BA0A70" w:rsidP="00BA0A70">
            <w:pPr>
              <w:jc w:val="center"/>
            </w:pPr>
            <w:r>
              <w:t>3</w:t>
            </w:r>
          </w:p>
        </w:tc>
        <w:tc>
          <w:tcPr>
            <w:tcW w:w="1916" w:type="dxa"/>
          </w:tcPr>
          <w:p w:rsidR="00BA0A70" w:rsidRPr="00BA0A70" w:rsidRDefault="00BA0A70" w:rsidP="00BA0A70">
            <w:pPr>
              <w:jc w:val="center"/>
            </w:pPr>
            <w:r>
              <w:t>0</w:t>
            </w:r>
          </w:p>
        </w:tc>
      </w:tr>
      <w:tr w:rsidR="00BA0A70" w:rsidTr="00BA0A70">
        <w:tc>
          <w:tcPr>
            <w:tcW w:w="1915" w:type="dxa"/>
            <w:tcBorders>
              <w:bottom w:val="double" w:sz="4" w:space="0" w:color="auto"/>
            </w:tcBorders>
          </w:tcPr>
          <w:p w:rsidR="00BA0A70" w:rsidRDefault="00BA0A70" w:rsidP="00BA0A70">
            <w:pPr>
              <w:jc w:val="center"/>
              <w:rPr>
                <w:b/>
              </w:rPr>
            </w:pPr>
            <w:r>
              <w:rPr>
                <w:b/>
              </w:rPr>
              <w:t>4</w:t>
            </w:r>
          </w:p>
        </w:tc>
        <w:tc>
          <w:tcPr>
            <w:tcW w:w="1915" w:type="dxa"/>
            <w:tcBorders>
              <w:bottom w:val="double" w:sz="4" w:space="0" w:color="auto"/>
            </w:tcBorders>
          </w:tcPr>
          <w:p w:rsidR="00BA0A70" w:rsidRPr="00BA0A70" w:rsidRDefault="00BA0A70" w:rsidP="00BA0A70">
            <w:pPr>
              <w:jc w:val="center"/>
            </w:pPr>
            <w:r>
              <w:t>0</w:t>
            </w:r>
          </w:p>
        </w:tc>
        <w:tc>
          <w:tcPr>
            <w:tcW w:w="1915" w:type="dxa"/>
            <w:tcBorders>
              <w:bottom w:val="double" w:sz="4" w:space="0" w:color="auto"/>
            </w:tcBorders>
          </w:tcPr>
          <w:p w:rsidR="00BA0A70" w:rsidRPr="00BA0A70" w:rsidRDefault="00BA0A70" w:rsidP="00BA0A70">
            <w:pPr>
              <w:jc w:val="center"/>
            </w:pPr>
            <w:r>
              <w:t>2</w:t>
            </w:r>
          </w:p>
        </w:tc>
        <w:tc>
          <w:tcPr>
            <w:tcW w:w="1915" w:type="dxa"/>
            <w:tcBorders>
              <w:bottom w:val="double" w:sz="4" w:space="0" w:color="auto"/>
            </w:tcBorders>
          </w:tcPr>
          <w:p w:rsidR="00BA0A70" w:rsidRPr="00BA0A70" w:rsidRDefault="00BA0A70" w:rsidP="00BA0A70">
            <w:pPr>
              <w:jc w:val="center"/>
            </w:pPr>
            <w:r>
              <w:t>0</w:t>
            </w:r>
          </w:p>
        </w:tc>
        <w:tc>
          <w:tcPr>
            <w:tcW w:w="1916" w:type="dxa"/>
            <w:tcBorders>
              <w:bottom w:val="double" w:sz="4" w:space="0" w:color="auto"/>
            </w:tcBorders>
          </w:tcPr>
          <w:p w:rsidR="00BA0A70" w:rsidRPr="00BA0A70" w:rsidRDefault="00BA0A70" w:rsidP="00BA0A70">
            <w:pPr>
              <w:jc w:val="center"/>
            </w:pPr>
            <w:r>
              <w:t>0</w:t>
            </w:r>
          </w:p>
        </w:tc>
      </w:tr>
    </w:tbl>
    <w:p w:rsidR="00BA0A70" w:rsidRDefault="00BA0A70" w:rsidP="00BA0A70">
      <w:pPr>
        <w:rPr>
          <w:b/>
        </w:rPr>
      </w:pPr>
    </w:p>
    <w:p w:rsidR="00BA0A70" w:rsidRDefault="00BA0A70" w:rsidP="00BA0A70">
      <w:pPr>
        <w:rPr>
          <w:i/>
        </w:rPr>
      </w:pPr>
      <w:r>
        <w:rPr>
          <w:i/>
        </w:rPr>
        <w:t>Assessment Analysis</w:t>
      </w:r>
    </w:p>
    <w:p w:rsidR="00691D7D" w:rsidRDefault="00691D7D" w:rsidP="00691D7D">
      <w:pPr>
        <w:ind w:firstLine="720"/>
      </w:pPr>
      <w:r>
        <w:t xml:space="preserve">Table 3 presents data on how frequently student papers were deemed to be QR relevant.  The science-heavy sample is clearly evident with fewer than 10% of the papers found to be non-QR relevant.  Clearly, the assignment mattered.  When explicit QR was called for, students always took an approach for which QR was relevant and nearly 98% of the time it mattered centrally.  Even in papers that did not explicitly call for quantitative evidence, almost all students wrote papers for which QR was “in play.”  This may reflect </w:t>
      </w:r>
      <w:proofErr w:type="gramStart"/>
      <w:r>
        <w:t>students</w:t>
      </w:r>
      <w:proofErr w:type="gramEnd"/>
      <w:r>
        <w:t xml:space="preserve"> perceptions of faculty members expectations in science courses.</w:t>
      </w:r>
    </w:p>
    <w:p w:rsidR="00691D7D" w:rsidRPr="00691D7D" w:rsidRDefault="00691D7D" w:rsidP="00BA0A70"/>
    <w:p w:rsidR="00691D7D" w:rsidRPr="00691D7D" w:rsidRDefault="00691D7D" w:rsidP="00BA0A70">
      <w:pPr>
        <w:rPr>
          <w:b/>
        </w:rPr>
      </w:pPr>
      <w:proofErr w:type="gramStart"/>
      <w:r>
        <w:rPr>
          <w:b/>
        </w:rPr>
        <w:t>Table 3.</w:t>
      </w:r>
      <w:proofErr w:type="gramEnd"/>
      <w:r>
        <w:rPr>
          <w:b/>
        </w:rPr>
        <w:t xml:space="preserve">  Relevance of QR by assignment type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691D7D" w:rsidTr="00691D7D">
        <w:tc>
          <w:tcPr>
            <w:tcW w:w="2394" w:type="dxa"/>
            <w:tcBorders>
              <w:top w:val="double" w:sz="4" w:space="0" w:color="auto"/>
            </w:tcBorders>
          </w:tcPr>
          <w:p w:rsidR="00691D7D" w:rsidRDefault="00691D7D" w:rsidP="00BA0A70"/>
        </w:tc>
        <w:tc>
          <w:tcPr>
            <w:tcW w:w="7182" w:type="dxa"/>
            <w:gridSpan w:val="3"/>
            <w:tcBorders>
              <w:top w:val="double" w:sz="4" w:space="0" w:color="auto"/>
            </w:tcBorders>
          </w:tcPr>
          <w:p w:rsidR="00691D7D" w:rsidRDefault="00691D7D" w:rsidP="00691D7D">
            <w:pPr>
              <w:jc w:val="center"/>
            </w:pPr>
            <w:r>
              <w:t>Relevance</w:t>
            </w:r>
          </w:p>
        </w:tc>
      </w:tr>
      <w:tr w:rsidR="00691D7D" w:rsidTr="00691D7D">
        <w:tc>
          <w:tcPr>
            <w:tcW w:w="2394" w:type="dxa"/>
          </w:tcPr>
          <w:p w:rsidR="00691D7D" w:rsidRDefault="00691D7D" w:rsidP="00BA0A70"/>
        </w:tc>
        <w:tc>
          <w:tcPr>
            <w:tcW w:w="2394" w:type="dxa"/>
            <w:tcBorders>
              <w:bottom w:val="single" w:sz="4" w:space="0" w:color="000000" w:themeColor="text1"/>
            </w:tcBorders>
          </w:tcPr>
          <w:p w:rsidR="00691D7D" w:rsidRDefault="00691D7D" w:rsidP="00691D7D">
            <w:pPr>
              <w:jc w:val="center"/>
            </w:pPr>
            <w:r>
              <w:t>None</w:t>
            </w:r>
          </w:p>
        </w:tc>
        <w:tc>
          <w:tcPr>
            <w:tcW w:w="2394" w:type="dxa"/>
            <w:tcBorders>
              <w:bottom w:val="single" w:sz="4" w:space="0" w:color="000000" w:themeColor="text1"/>
            </w:tcBorders>
          </w:tcPr>
          <w:p w:rsidR="00691D7D" w:rsidRDefault="00691D7D" w:rsidP="00691D7D">
            <w:pPr>
              <w:jc w:val="center"/>
            </w:pPr>
            <w:r>
              <w:t>Peripheral</w:t>
            </w:r>
          </w:p>
        </w:tc>
        <w:tc>
          <w:tcPr>
            <w:tcW w:w="2394" w:type="dxa"/>
            <w:tcBorders>
              <w:bottom w:val="single" w:sz="4" w:space="0" w:color="000000" w:themeColor="text1"/>
            </w:tcBorders>
          </w:tcPr>
          <w:p w:rsidR="00691D7D" w:rsidRDefault="00691D7D" w:rsidP="00691D7D">
            <w:pPr>
              <w:jc w:val="center"/>
            </w:pPr>
            <w:r>
              <w:t>Central</w:t>
            </w:r>
          </w:p>
        </w:tc>
      </w:tr>
      <w:tr w:rsidR="00691D7D" w:rsidTr="00691D7D">
        <w:tc>
          <w:tcPr>
            <w:tcW w:w="2394" w:type="dxa"/>
          </w:tcPr>
          <w:p w:rsidR="00691D7D" w:rsidRDefault="00691D7D" w:rsidP="00BA0A70">
            <w:r>
              <w:t>All Papers</w:t>
            </w:r>
          </w:p>
        </w:tc>
        <w:tc>
          <w:tcPr>
            <w:tcW w:w="2394" w:type="dxa"/>
            <w:tcBorders>
              <w:top w:val="single" w:sz="4" w:space="0" w:color="000000" w:themeColor="text1"/>
            </w:tcBorders>
          </w:tcPr>
          <w:p w:rsidR="00691D7D" w:rsidRDefault="00691D7D" w:rsidP="00691D7D">
            <w:pPr>
              <w:jc w:val="center"/>
            </w:pPr>
            <w:r>
              <w:t>6.7%</w:t>
            </w:r>
          </w:p>
        </w:tc>
        <w:tc>
          <w:tcPr>
            <w:tcW w:w="2394" w:type="dxa"/>
            <w:tcBorders>
              <w:top w:val="single" w:sz="4" w:space="0" w:color="000000" w:themeColor="text1"/>
            </w:tcBorders>
          </w:tcPr>
          <w:p w:rsidR="00691D7D" w:rsidRDefault="00691D7D" w:rsidP="00691D7D">
            <w:pPr>
              <w:jc w:val="center"/>
            </w:pPr>
            <w:r>
              <w:t>10.0%</w:t>
            </w:r>
          </w:p>
        </w:tc>
        <w:tc>
          <w:tcPr>
            <w:tcW w:w="2394" w:type="dxa"/>
            <w:tcBorders>
              <w:top w:val="single" w:sz="4" w:space="0" w:color="000000" w:themeColor="text1"/>
            </w:tcBorders>
          </w:tcPr>
          <w:p w:rsidR="00691D7D" w:rsidRDefault="00691D7D" w:rsidP="00691D7D">
            <w:pPr>
              <w:jc w:val="center"/>
            </w:pPr>
            <w:r>
              <w:t>73.3%</w:t>
            </w:r>
          </w:p>
        </w:tc>
      </w:tr>
      <w:tr w:rsidR="00691D7D" w:rsidTr="00691D7D">
        <w:tc>
          <w:tcPr>
            <w:tcW w:w="2394" w:type="dxa"/>
          </w:tcPr>
          <w:p w:rsidR="00691D7D" w:rsidRDefault="00691D7D" w:rsidP="00BA0A70"/>
        </w:tc>
        <w:tc>
          <w:tcPr>
            <w:tcW w:w="2394" w:type="dxa"/>
          </w:tcPr>
          <w:p w:rsidR="00691D7D" w:rsidRDefault="00691D7D" w:rsidP="00691D7D">
            <w:pPr>
              <w:jc w:val="center"/>
            </w:pPr>
          </w:p>
        </w:tc>
        <w:tc>
          <w:tcPr>
            <w:tcW w:w="2394" w:type="dxa"/>
          </w:tcPr>
          <w:p w:rsidR="00691D7D" w:rsidRDefault="00691D7D" w:rsidP="00691D7D">
            <w:pPr>
              <w:jc w:val="center"/>
            </w:pPr>
          </w:p>
        </w:tc>
        <w:tc>
          <w:tcPr>
            <w:tcW w:w="2394" w:type="dxa"/>
          </w:tcPr>
          <w:p w:rsidR="00691D7D" w:rsidRDefault="00691D7D" w:rsidP="00691D7D">
            <w:pPr>
              <w:jc w:val="center"/>
            </w:pPr>
          </w:p>
        </w:tc>
      </w:tr>
      <w:tr w:rsidR="00691D7D" w:rsidTr="00691D7D">
        <w:tc>
          <w:tcPr>
            <w:tcW w:w="2394" w:type="dxa"/>
          </w:tcPr>
          <w:p w:rsidR="00691D7D" w:rsidRDefault="00691D7D" w:rsidP="00BA0A70">
            <w:r>
              <w:t>Assignment did not require QR</w:t>
            </w:r>
          </w:p>
        </w:tc>
        <w:tc>
          <w:tcPr>
            <w:tcW w:w="2394" w:type="dxa"/>
          </w:tcPr>
          <w:p w:rsidR="00691D7D" w:rsidRDefault="00691D7D" w:rsidP="00691D7D">
            <w:pPr>
              <w:jc w:val="center"/>
            </w:pPr>
            <w:r>
              <w:t>13.7%</w:t>
            </w:r>
          </w:p>
        </w:tc>
        <w:tc>
          <w:tcPr>
            <w:tcW w:w="2394" w:type="dxa"/>
          </w:tcPr>
          <w:p w:rsidR="00691D7D" w:rsidRDefault="00691D7D" w:rsidP="00691D7D">
            <w:pPr>
              <w:jc w:val="center"/>
            </w:pPr>
            <w:r>
              <w:t>39.2%</w:t>
            </w:r>
          </w:p>
        </w:tc>
        <w:tc>
          <w:tcPr>
            <w:tcW w:w="2394" w:type="dxa"/>
          </w:tcPr>
          <w:p w:rsidR="00691D7D" w:rsidRDefault="00691D7D" w:rsidP="00691D7D">
            <w:pPr>
              <w:jc w:val="center"/>
            </w:pPr>
            <w:r>
              <w:t>47.1%</w:t>
            </w:r>
          </w:p>
        </w:tc>
      </w:tr>
      <w:tr w:rsidR="00691D7D" w:rsidTr="00691D7D">
        <w:tc>
          <w:tcPr>
            <w:tcW w:w="2394" w:type="dxa"/>
          </w:tcPr>
          <w:p w:rsidR="00691D7D" w:rsidRDefault="00691D7D" w:rsidP="00691D7D">
            <w:r>
              <w:t>Assignment required QR</w:t>
            </w:r>
          </w:p>
        </w:tc>
        <w:tc>
          <w:tcPr>
            <w:tcW w:w="2394" w:type="dxa"/>
          </w:tcPr>
          <w:p w:rsidR="00691D7D" w:rsidRDefault="00691D7D" w:rsidP="00691D7D">
            <w:pPr>
              <w:jc w:val="center"/>
            </w:pPr>
            <w:r>
              <w:t>0.0%</w:t>
            </w:r>
          </w:p>
        </w:tc>
        <w:tc>
          <w:tcPr>
            <w:tcW w:w="2394" w:type="dxa"/>
          </w:tcPr>
          <w:p w:rsidR="00691D7D" w:rsidRDefault="00691D7D" w:rsidP="00691D7D">
            <w:pPr>
              <w:jc w:val="center"/>
            </w:pPr>
            <w:r>
              <w:t>2.7%</w:t>
            </w:r>
          </w:p>
        </w:tc>
        <w:tc>
          <w:tcPr>
            <w:tcW w:w="2394" w:type="dxa"/>
          </w:tcPr>
          <w:p w:rsidR="00691D7D" w:rsidRDefault="00691D7D" w:rsidP="00691D7D">
            <w:pPr>
              <w:jc w:val="center"/>
            </w:pPr>
            <w:r>
              <w:t>97.6%</w:t>
            </w:r>
          </w:p>
        </w:tc>
      </w:tr>
      <w:tr w:rsidR="00A40AF8" w:rsidTr="00691D7D">
        <w:tc>
          <w:tcPr>
            <w:tcW w:w="2394" w:type="dxa"/>
            <w:tcBorders>
              <w:bottom w:val="double" w:sz="4" w:space="0" w:color="auto"/>
            </w:tcBorders>
          </w:tcPr>
          <w:p w:rsidR="00A40AF8" w:rsidRDefault="00A40AF8" w:rsidP="00BA0A70"/>
        </w:tc>
        <w:tc>
          <w:tcPr>
            <w:tcW w:w="2394" w:type="dxa"/>
            <w:tcBorders>
              <w:bottom w:val="double" w:sz="4" w:space="0" w:color="auto"/>
            </w:tcBorders>
          </w:tcPr>
          <w:p w:rsidR="00A40AF8" w:rsidRDefault="00A40AF8" w:rsidP="00BA0A70"/>
        </w:tc>
        <w:tc>
          <w:tcPr>
            <w:tcW w:w="2394" w:type="dxa"/>
            <w:tcBorders>
              <w:bottom w:val="double" w:sz="4" w:space="0" w:color="auto"/>
            </w:tcBorders>
          </w:tcPr>
          <w:p w:rsidR="00A40AF8" w:rsidRDefault="00A40AF8" w:rsidP="00BA0A70"/>
        </w:tc>
        <w:tc>
          <w:tcPr>
            <w:tcW w:w="2394" w:type="dxa"/>
            <w:tcBorders>
              <w:bottom w:val="double" w:sz="4" w:space="0" w:color="auto"/>
            </w:tcBorders>
          </w:tcPr>
          <w:p w:rsidR="00A40AF8" w:rsidRDefault="00A40AF8" w:rsidP="00BA0A70"/>
        </w:tc>
      </w:tr>
    </w:tbl>
    <w:p w:rsidR="00BA0A70" w:rsidRDefault="00BA0A70" w:rsidP="00BA0A70"/>
    <w:p w:rsidR="00A40AF8" w:rsidRDefault="00A40AF8" w:rsidP="00BA0A70">
      <w:r>
        <w:tab/>
        <w:t xml:space="preserve">Table 4 considers the extent of QR found in the papers.  Overall, this was a very QR-y group of papers.  Nearly three-fourths employed quantitative evidence throughout the paper.  As expected, when QR was not relevant to a paper, students did not employ QR.  What may be notable is the propensity of Wellesley students to use QR when relevant.  When centrally relevant, 90% of students use QR extensively and another 8% do some.  By contrast, in Carleton’s sample roughly 20% of students use no QR when it is centrally relevant to the paper.  Similarly, a relatively modest 18.5% of students failed to use any QR when peripherally relevant.  At Carleton the comparable figure is 95%.  Here again, the nature of the sample might matter.  </w:t>
      </w:r>
      <w:r w:rsidR="006C5A70">
        <w:t xml:space="preserve">A similar pattern is evident in the data by assignment type: even when not required to, Wellesley students called on quantitative evidence with fair regularity.  </w:t>
      </w:r>
      <w:r>
        <w:t xml:space="preserve">Students may be more prone to using QR in science courses than in general education courses or they may learn to do so with </w:t>
      </w:r>
      <w:r>
        <w:lastRenderedPageBreak/>
        <w:t>maturity.  While we cannot be certain as to the causes for these differences, it seems it would be valuable for us to find them out.</w:t>
      </w:r>
    </w:p>
    <w:p w:rsidR="006C5A70" w:rsidRDefault="006C5A70" w:rsidP="00BA0A70"/>
    <w:p w:rsidR="00A40AF8" w:rsidRPr="00691D7D" w:rsidRDefault="00A40AF8" w:rsidP="00A40AF8">
      <w:pPr>
        <w:rPr>
          <w:b/>
        </w:rPr>
      </w:pPr>
      <w:proofErr w:type="gramStart"/>
      <w:r>
        <w:rPr>
          <w:b/>
        </w:rPr>
        <w:t>Table 4.</w:t>
      </w:r>
      <w:proofErr w:type="gramEnd"/>
      <w:r>
        <w:rPr>
          <w:b/>
        </w:rPr>
        <w:t xml:space="preserve">  Extent of QR by paper and assignment type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A40AF8" w:rsidTr="00FB3F76">
        <w:tc>
          <w:tcPr>
            <w:tcW w:w="2394" w:type="dxa"/>
            <w:tcBorders>
              <w:top w:val="double" w:sz="4" w:space="0" w:color="auto"/>
            </w:tcBorders>
          </w:tcPr>
          <w:p w:rsidR="00A40AF8" w:rsidRDefault="00A40AF8" w:rsidP="00FB3F76"/>
        </w:tc>
        <w:tc>
          <w:tcPr>
            <w:tcW w:w="7182" w:type="dxa"/>
            <w:gridSpan w:val="3"/>
            <w:tcBorders>
              <w:top w:val="double" w:sz="4" w:space="0" w:color="auto"/>
            </w:tcBorders>
          </w:tcPr>
          <w:p w:rsidR="00A40AF8" w:rsidRDefault="00A40AF8" w:rsidP="00FB3F76">
            <w:pPr>
              <w:jc w:val="center"/>
            </w:pPr>
            <w:r>
              <w:t>Extent</w:t>
            </w:r>
          </w:p>
        </w:tc>
      </w:tr>
      <w:tr w:rsidR="00A40AF8" w:rsidTr="00FB3F76">
        <w:tc>
          <w:tcPr>
            <w:tcW w:w="2394" w:type="dxa"/>
          </w:tcPr>
          <w:p w:rsidR="00A40AF8" w:rsidRDefault="00A40AF8" w:rsidP="00FB3F76"/>
        </w:tc>
        <w:tc>
          <w:tcPr>
            <w:tcW w:w="2394" w:type="dxa"/>
            <w:tcBorders>
              <w:bottom w:val="single" w:sz="4" w:space="0" w:color="000000" w:themeColor="text1"/>
            </w:tcBorders>
          </w:tcPr>
          <w:p w:rsidR="00A40AF8" w:rsidRDefault="00A40AF8" w:rsidP="00FB3F76">
            <w:pPr>
              <w:jc w:val="center"/>
            </w:pPr>
            <w:r>
              <w:t>None</w:t>
            </w:r>
          </w:p>
        </w:tc>
        <w:tc>
          <w:tcPr>
            <w:tcW w:w="2394" w:type="dxa"/>
            <w:tcBorders>
              <w:bottom w:val="single" w:sz="4" w:space="0" w:color="000000" w:themeColor="text1"/>
            </w:tcBorders>
          </w:tcPr>
          <w:p w:rsidR="00A40AF8" w:rsidRDefault="00A40AF8" w:rsidP="00FB3F76">
            <w:pPr>
              <w:jc w:val="center"/>
            </w:pPr>
            <w:r>
              <w:t>Some</w:t>
            </w:r>
          </w:p>
        </w:tc>
        <w:tc>
          <w:tcPr>
            <w:tcW w:w="2394" w:type="dxa"/>
            <w:tcBorders>
              <w:bottom w:val="single" w:sz="4" w:space="0" w:color="000000" w:themeColor="text1"/>
            </w:tcBorders>
          </w:tcPr>
          <w:p w:rsidR="00A40AF8" w:rsidRDefault="00A40AF8" w:rsidP="00FB3F76">
            <w:pPr>
              <w:jc w:val="center"/>
            </w:pPr>
            <w:r>
              <w:t>Extensive</w:t>
            </w:r>
          </w:p>
        </w:tc>
      </w:tr>
      <w:tr w:rsidR="00A40AF8" w:rsidTr="00FB3F76">
        <w:tc>
          <w:tcPr>
            <w:tcW w:w="2394" w:type="dxa"/>
          </w:tcPr>
          <w:p w:rsidR="00A40AF8" w:rsidRDefault="00A40AF8" w:rsidP="00FB3F76">
            <w:r>
              <w:t>All Papers</w:t>
            </w:r>
          </w:p>
        </w:tc>
        <w:tc>
          <w:tcPr>
            <w:tcW w:w="2394" w:type="dxa"/>
            <w:tcBorders>
              <w:top w:val="single" w:sz="4" w:space="0" w:color="000000" w:themeColor="text1"/>
            </w:tcBorders>
          </w:tcPr>
          <w:p w:rsidR="00A40AF8" w:rsidRDefault="00A40AF8" w:rsidP="00FB3F76">
            <w:pPr>
              <w:jc w:val="center"/>
            </w:pPr>
            <w:r>
              <w:t>11.8%</w:t>
            </w:r>
          </w:p>
        </w:tc>
        <w:tc>
          <w:tcPr>
            <w:tcW w:w="2394" w:type="dxa"/>
            <w:tcBorders>
              <w:top w:val="single" w:sz="4" w:space="0" w:color="000000" w:themeColor="text1"/>
            </w:tcBorders>
          </w:tcPr>
          <w:p w:rsidR="00A40AF8" w:rsidRDefault="00A40AF8" w:rsidP="00FB3F76">
            <w:pPr>
              <w:jc w:val="center"/>
            </w:pPr>
            <w:r>
              <w:t>14.7%</w:t>
            </w:r>
          </w:p>
        </w:tc>
        <w:tc>
          <w:tcPr>
            <w:tcW w:w="2394" w:type="dxa"/>
            <w:tcBorders>
              <w:top w:val="single" w:sz="4" w:space="0" w:color="000000" w:themeColor="text1"/>
            </w:tcBorders>
          </w:tcPr>
          <w:p w:rsidR="00A40AF8" w:rsidRDefault="00A40AF8" w:rsidP="00A40AF8">
            <w:pPr>
              <w:jc w:val="center"/>
            </w:pPr>
            <w:r>
              <w:t>73.5%</w:t>
            </w:r>
          </w:p>
        </w:tc>
      </w:tr>
      <w:tr w:rsidR="00A40AF8" w:rsidTr="00FB3F76">
        <w:tc>
          <w:tcPr>
            <w:tcW w:w="2394" w:type="dxa"/>
          </w:tcPr>
          <w:p w:rsidR="00A40AF8" w:rsidRDefault="00A40AF8" w:rsidP="00FB3F76">
            <w:pPr>
              <w:rPr>
                <w:i/>
              </w:rPr>
            </w:pPr>
          </w:p>
          <w:p w:rsidR="00A40AF8" w:rsidRPr="00A40AF8" w:rsidRDefault="00A40AF8" w:rsidP="00FB3F76">
            <w:pPr>
              <w:rPr>
                <w:i/>
              </w:rPr>
            </w:pPr>
            <w:r>
              <w:rPr>
                <w:i/>
              </w:rPr>
              <w:t>Paper type</w:t>
            </w:r>
          </w:p>
        </w:tc>
        <w:tc>
          <w:tcPr>
            <w:tcW w:w="2394" w:type="dxa"/>
          </w:tcPr>
          <w:p w:rsidR="00A40AF8" w:rsidRDefault="00A40AF8" w:rsidP="00FB3F76">
            <w:pPr>
              <w:jc w:val="center"/>
            </w:pPr>
          </w:p>
        </w:tc>
        <w:tc>
          <w:tcPr>
            <w:tcW w:w="2394" w:type="dxa"/>
          </w:tcPr>
          <w:p w:rsidR="00A40AF8" w:rsidRDefault="00A40AF8" w:rsidP="00FB3F76">
            <w:pPr>
              <w:jc w:val="center"/>
            </w:pPr>
          </w:p>
        </w:tc>
        <w:tc>
          <w:tcPr>
            <w:tcW w:w="2394" w:type="dxa"/>
          </w:tcPr>
          <w:p w:rsidR="00A40AF8" w:rsidRDefault="00A40AF8" w:rsidP="00FB3F76">
            <w:pPr>
              <w:jc w:val="center"/>
            </w:pPr>
          </w:p>
        </w:tc>
      </w:tr>
      <w:tr w:rsidR="00A40AF8" w:rsidTr="00FB3F76">
        <w:tc>
          <w:tcPr>
            <w:tcW w:w="2394" w:type="dxa"/>
          </w:tcPr>
          <w:p w:rsidR="00A40AF8" w:rsidRDefault="00A40AF8" w:rsidP="00FB3F76">
            <w:r>
              <w:t>QR-Irrelevant</w:t>
            </w:r>
          </w:p>
        </w:tc>
        <w:tc>
          <w:tcPr>
            <w:tcW w:w="2394" w:type="dxa"/>
          </w:tcPr>
          <w:p w:rsidR="00A40AF8" w:rsidRDefault="00A40AF8" w:rsidP="00FB3F76">
            <w:pPr>
              <w:jc w:val="center"/>
            </w:pPr>
            <w:r>
              <w:t>100%</w:t>
            </w:r>
          </w:p>
          <w:p w:rsidR="00A40AF8" w:rsidRDefault="00A40AF8" w:rsidP="00FB3F76">
            <w:pPr>
              <w:jc w:val="center"/>
            </w:pPr>
          </w:p>
        </w:tc>
        <w:tc>
          <w:tcPr>
            <w:tcW w:w="2394" w:type="dxa"/>
          </w:tcPr>
          <w:p w:rsidR="00A40AF8" w:rsidRDefault="00A40AF8" w:rsidP="00FB3F76">
            <w:pPr>
              <w:jc w:val="center"/>
            </w:pPr>
            <w:r>
              <w:t>0.0%</w:t>
            </w:r>
          </w:p>
        </w:tc>
        <w:tc>
          <w:tcPr>
            <w:tcW w:w="2394" w:type="dxa"/>
          </w:tcPr>
          <w:p w:rsidR="00A40AF8" w:rsidRDefault="00A40AF8" w:rsidP="00FB3F76">
            <w:pPr>
              <w:jc w:val="center"/>
            </w:pPr>
            <w:r>
              <w:t>0.0%</w:t>
            </w:r>
          </w:p>
        </w:tc>
      </w:tr>
      <w:tr w:rsidR="00A40AF8" w:rsidTr="00FB3F76">
        <w:tc>
          <w:tcPr>
            <w:tcW w:w="2394" w:type="dxa"/>
          </w:tcPr>
          <w:p w:rsidR="00A40AF8" w:rsidRDefault="00A40AF8" w:rsidP="00FB3F76">
            <w:r>
              <w:t>Peripherally Relevant</w:t>
            </w:r>
          </w:p>
        </w:tc>
        <w:tc>
          <w:tcPr>
            <w:tcW w:w="2394" w:type="dxa"/>
          </w:tcPr>
          <w:p w:rsidR="00A40AF8" w:rsidRDefault="00A40AF8" w:rsidP="00FB3F76">
            <w:pPr>
              <w:jc w:val="center"/>
            </w:pPr>
            <w:r>
              <w:t>18.5%</w:t>
            </w:r>
          </w:p>
        </w:tc>
        <w:tc>
          <w:tcPr>
            <w:tcW w:w="2394" w:type="dxa"/>
          </w:tcPr>
          <w:p w:rsidR="00A40AF8" w:rsidRDefault="00A40AF8" w:rsidP="00FB3F76">
            <w:pPr>
              <w:jc w:val="center"/>
            </w:pPr>
            <w:r>
              <w:t>44.4%</w:t>
            </w:r>
          </w:p>
        </w:tc>
        <w:tc>
          <w:tcPr>
            <w:tcW w:w="2394" w:type="dxa"/>
          </w:tcPr>
          <w:p w:rsidR="00A40AF8" w:rsidRDefault="00A40AF8" w:rsidP="00FB3F76">
            <w:pPr>
              <w:jc w:val="center"/>
            </w:pPr>
            <w:r>
              <w:t>37.0%</w:t>
            </w:r>
          </w:p>
          <w:p w:rsidR="00A40AF8" w:rsidRDefault="00A40AF8" w:rsidP="00FB3F76">
            <w:pPr>
              <w:jc w:val="center"/>
            </w:pPr>
          </w:p>
        </w:tc>
      </w:tr>
      <w:tr w:rsidR="00A40AF8" w:rsidTr="00FB3F76">
        <w:tc>
          <w:tcPr>
            <w:tcW w:w="2394" w:type="dxa"/>
          </w:tcPr>
          <w:p w:rsidR="00A40AF8" w:rsidRDefault="00A40AF8" w:rsidP="00FB3F76">
            <w:r>
              <w:t>Centrally Relevant</w:t>
            </w:r>
          </w:p>
        </w:tc>
        <w:tc>
          <w:tcPr>
            <w:tcW w:w="2394" w:type="dxa"/>
          </w:tcPr>
          <w:p w:rsidR="00A40AF8" w:rsidRDefault="00A40AF8" w:rsidP="00FB3F76">
            <w:pPr>
              <w:jc w:val="center"/>
            </w:pPr>
            <w:r>
              <w:t>2.0%</w:t>
            </w:r>
          </w:p>
        </w:tc>
        <w:tc>
          <w:tcPr>
            <w:tcW w:w="2394" w:type="dxa"/>
          </w:tcPr>
          <w:p w:rsidR="00A40AF8" w:rsidRDefault="00A40AF8" w:rsidP="00FB3F76">
            <w:pPr>
              <w:jc w:val="center"/>
            </w:pPr>
            <w:r>
              <w:t>8.0%</w:t>
            </w:r>
          </w:p>
        </w:tc>
        <w:tc>
          <w:tcPr>
            <w:tcW w:w="2394" w:type="dxa"/>
          </w:tcPr>
          <w:p w:rsidR="00A40AF8" w:rsidRDefault="00A40AF8" w:rsidP="00FB3F76">
            <w:pPr>
              <w:jc w:val="center"/>
            </w:pPr>
            <w:r>
              <w:t>90.0%</w:t>
            </w:r>
          </w:p>
        </w:tc>
      </w:tr>
      <w:tr w:rsidR="00A40AF8" w:rsidTr="00FB3F76">
        <w:tc>
          <w:tcPr>
            <w:tcW w:w="2394" w:type="dxa"/>
          </w:tcPr>
          <w:p w:rsidR="00A40AF8" w:rsidRDefault="00A40AF8" w:rsidP="00FB3F76">
            <w:pPr>
              <w:rPr>
                <w:i/>
              </w:rPr>
            </w:pPr>
          </w:p>
          <w:p w:rsidR="00A40AF8" w:rsidRPr="00A40AF8" w:rsidRDefault="00A40AF8" w:rsidP="00FB3F76">
            <w:pPr>
              <w:rPr>
                <w:i/>
              </w:rPr>
            </w:pPr>
            <w:r>
              <w:rPr>
                <w:i/>
              </w:rPr>
              <w:t>Assignment type</w:t>
            </w:r>
          </w:p>
        </w:tc>
        <w:tc>
          <w:tcPr>
            <w:tcW w:w="2394" w:type="dxa"/>
          </w:tcPr>
          <w:p w:rsidR="00A40AF8" w:rsidRDefault="00A40AF8" w:rsidP="00FB3F76">
            <w:pPr>
              <w:jc w:val="center"/>
            </w:pPr>
          </w:p>
        </w:tc>
        <w:tc>
          <w:tcPr>
            <w:tcW w:w="2394" w:type="dxa"/>
          </w:tcPr>
          <w:p w:rsidR="00A40AF8" w:rsidRDefault="00A40AF8" w:rsidP="00FB3F76">
            <w:pPr>
              <w:jc w:val="center"/>
            </w:pPr>
          </w:p>
        </w:tc>
        <w:tc>
          <w:tcPr>
            <w:tcW w:w="2394" w:type="dxa"/>
          </w:tcPr>
          <w:p w:rsidR="00A40AF8" w:rsidRDefault="00A40AF8" w:rsidP="00FB3F76">
            <w:pPr>
              <w:jc w:val="center"/>
            </w:pPr>
          </w:p>
        </w:tc>
      </w:tr>
      <w:tr w:rsidR="00A40AF8" w:rsidTr="00FB3F76">
        <w:tc>
          <w:tcPr>
            <w:tcW w:w="2394" w:type="dxa"/>
          </w:tcPr>
          <w:p w:rsidR="00A40AF8" w:rsidRDefault="00A40AF8" w:rsidP="00FB3F76">
            <w:r>
              <w:t>Assignment did not require QR</w:t>
            </w:r>
          </w:p>
        </w:tc>
        <w:tc>
          <w:tcPr>
            <w:tcW w:w="2394" w:type="dxa"/>
          </w:tcPr>
          <w:p w:rsidR="00A40AF8" w:rsidRDefault="00A40AF8" w:rsidP="00FB3F76">
            <w:pPr>
              <w:jc w:val="center"/>
            </w:pPr>
            <w:r>
              <w:t>23.5%</w:t>
            </w:r>
          </w:p>
        </w:tc>
        <w:tc>
          <w:tcPr>
            <w:tcW w:w="2394" w:type="dxa"/>
          </w:tcPr>
          <w:p w:rsidR="00A40AF8" w:rsidRDefault="00A40AF8" w:rsidP="00FB3F76">
            <w:pPr>
              <w:jc w:val="center"/>
            </w:pPr>
            <w:r>
              <w:t>27.4%</w:t>
            </w:r>
          </w:p>
        </w:tc>
        <w:tc>
          <w:tcPr>
            <w:tcW w:w="2394" w:type="dxa"/>
          </w:tcPr>
          <w:p w:rsidR="00A40AF8" w:rsidRDefault="00A40AF8" w:rsidP="00FB3F76">
            <w:pPr>
              <w:jc w:val="center"/>
            </w:pPr>
            <w:r>
              <w:t>49.0%</w:t>
            </w:r>
          </w:p>
        </w:tc>
      </w:tr>
      <w:tr w:rsidR="00A40AF8" w:rsidTr="00FB3F76">
        <w:tc>
          <w:tcPr>
            <w:tcW w:w="2394" w:type="dxa"/>
          </w:tcPr>
          <w:p w:rsidR="00A40AF8" w:rsidRDefault="00A40AF8" w:rsidP="00FB3F76">
            <w:r>
              <w:t>Assignment required QR</w:t>
            </w:r>
          </w:p>
        </w:tc>
        <w:tc>
          <w:tcPr>
            <w:tcW w:w="2394" w:type="dxa"/>
          </w:tcPr>
          <w:p w:rsidR="00A40AF8" w:rsidRDefault="00A40AF8" w:rsidP="00FB3F76">
            <w:pPr>
              <w:jc w:val="center"/>
            </w:pPr>
            <w:r>
              <w:t>1.4%</w:t>
            </w:r>
          </w:p>
        </w:tc>
        <w:tc>
          <w:tcPr>
            <w:tcW w:w="2394" w:type="dxa"/>
          </w:tcPr>
          <w:p w:rsidR="00A40AF8" w:rsidRDefault="00A40AF8" w:rsidP="00FB3F76">
            <w:pPr>
              <w:jc w:val="center"/>
            </w:pPr>
            <w:r>
              <w:t>4.2%</w:t>
            </w:r>
          </w:p>
        </w:tc>
        <w:tc>
          <w:tcPr>
            <w:tcW w:w="2394" w:type="dxa"/>
          </w:tcPr>
          <w:p w:rsidR="00A40AF8" w:rsidRDefault="00A40AF8" w:rsidP="00FB3F76">
            <w:pPr>
              <w:jc w:val="center"/>
            </w:pPr>
            <w:r>
              <w:t>94.4%</w:t>
            </w:r>
          </w:p>
        </w:tc>
      </w:tr>
      <w:tr w:rsidR="00A40AF8" w:rsidTr="00FB3F76">
        <w:tc>
          <w:tcPr>
            <w:tcW w:w="2394" w:type="dxa"/>
            <w:tcBorders>
              <w:bottom w:val="double" w:sz="4" w:space="0" w:color="auto"/>
            </w:tcBorders>
          </w:tcPr>
          <w:p w:rsidR="00A40AF8" w:rsidRDefault="00A40AF8" w:rsidP="00FB3F76"/>
        </w:tc>
        <w:tc>
          <w:tcPr>
            <w:tcW w:w="2394" w:type="dxa"/>
            <w:tcBorders>
              <w:bottom w:val="double" w:sz="4" w:space="0" w:color="auto"/>
            </w:tcBorders>
          </w:tcPr>
          <w:p w:rsidR="00A40AF8" w:rsidRDefault="00A40AF8" w:rsidP="00FB3F76"/>
        </w:tc>
        <w:tc>
          <w:tcPr>
            <w:tcW w:w="2394" w:type="dxa"/>
            <w:tcBorders>
              <w:bottom w:val="double" w:sz="4" w:space="0" w:color="auto"/>
            </w:tcBorders>
          </w:tcPr>
          <w:p w:rsidR="00A40AF8" w:rsidRDefault="00A40AF8" w:rsidP="00FB3F76"/>
        </w:tc>
        <w:tc>
          <w:tcPr>
            <w:tcW w:w="2394" w:type="dxa"/>
            <w:tcBorders>
              <w:bottom w:val="double" w:sz="4" w:space="0" w:color="auto"/>
            </w:tcBorders>
          </w:tcPr>
          <w:p w:rsidR="00A40AF8" w:rsidRDefault="00A40AF8" w:rsidP="00FB3F76"/>
        </w:tc>
      </w:tr>
    </w:tbl>
    <w:p w:rsidR="00A40AF8" w:rsidRPr="00BA0A70" w:rsidRDefault="00A40AF8" w:rsidP="00BA0A70"/>
    <w:sectPr w:rsidR="00A40AF8" w:rsidRPr="00BA0A70" w:rsidSect="007D1E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40155"/>
    <w:rsid w:val="0000592A"/>
    <w:rsid w:val="001C3288"/>
    <w:rsid w:val="0033727E"/>
    <w:rsid w:val="003C3EDF"/>
    <w:rsid w:val="00443398"/>
    <w:rsid w:val="004C71E2"/>
    <w:rsid w:val="00590520"/>
    <w:rsid w:val="00640155"/>
    <w:rsid w:val="00664E01"/>
    <w:rsid w:val="00691D7D"/>
    <w:rsid w:val="006C5A70"/>
    <w:rsid w:val="00790968"/>
    <w:rsid w:val="007A38D5"/>
    <w:rsid w:val="007D1E49"/>
    <w:rsid w:val="008520FA"/>
    <w:rsid w:val="008668D8"/>
    <w:rsid w:val="0095510A"/>
    <w:rsid w:val="00A40AF8"/>
    <w:rsid w:val="00BA0A70"/>
    <w:rsid w:val="00BC0F30"/>
    <w:rsid w:val="00C16BED"/>
    <w:rsid w:val="00E844B9"/>
    <w:rsid w:val="00FE39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7E"/>
    <w:pPr>
      <w:spacing w:after="0" w:line="240" w:lineRule="auto"/>
    </w:pPr>
  </w:style>
  <w:style w:type="paragraph" w:styleId="Heading1">
    <w:name w:val="heading 1"/>
    <w:basedOn w:val="Normal"/>
    <w:next w:val="Normal"/>
    <w:link w:val="Heading1Char"/>
    <w:uiPriority w:val="9"/>
    <w:qFormat/>
    <w:rsid w:val="0033727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3727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3727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3727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3727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3727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3727E"/>
    <w:pPr>
      <w:spacing w:before="240" w:after="60"/>
      <w:outlineLvl w:val="6"/>
    </w:pPr>
  </w:style>
  <w:style w:type="paragraph" w:styleId="Heading8">
    <w:name w:val="heading 8"/>
    <w:basedOn w:val="Normal"/>
    <w:next w:val="Normal"/>
    <w:link w:val="Heading8Char"/>
    <w:uiPriority w:val="9"/>
    <w:semiHidden/>
    <w:unhideWhenUsed/>
    <w:qFormat/>
    <w:rsid w:val="0033727E"/>
    <w:pPr>
      <w:spacing w:before="240" w:after="60"/>
      <w:outlineLvl w:val="7"/>
    </w:pPr>
    <w:rPr>
      <w:i/>
      <w:iCs/>
    </w:rPr>
  </w:style>
  <w:style w:type="paragraph" w:styleId="Heading9">
    <w:name w:val="heading 9"/>
    <w:basedOn w:val="Normal"/>
    <w:next w:val="Normal"/>
    <w:link w:val="Heading9Char"/>
    <w:uiPriority w:val="9"/>
    <w:semiHidden/>
    <w:unhideWhenUsed/>
    <w:qFormat/>
    <w:rsid w:val="0033727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27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3727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3727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3727E"/>
    <w:rPr>
      <w:b/>
      <w:bCs/>
      <w:sz w:val="28"/>
      <w:szCs w:val="28"/>
    </w:rPr>
  </w:style>
  <w:style w:type="character" w:customStyle="1" w:styleId="Heading5Char">
    <w:name w:val="Heading 5 Char"/>
    <w:basedOn w:val="DefaultParagraphFont"/>
    <w:link w:val="Heading5"/>
    <w:uiPriority w:val="9"/>
    <w:semiHidden/>
    <w:rsid w:val="0033727E"/>
    <w:rPr>
      <w:b/>
      <w:bCs/>
      <w:i/>
      <w:iCs/>
      <w:sz w:val="26"/>
      <w:szCs w:val="26"/>
    </w:rPr>
  </w:style>
  <w:style w:type="character" w:customStyle="1" w:styleId="Heading6Char">
    <w:name w:val="Heading 6 Char"/>
    <w:basedOn w:val="DefaultParagraphFont"/>
    <w:link w:val="Heading6"/>
    <w:uiPriority w:val="9"/>
    <w:semiHidden/>
    <w:rsid w:val="0033727E"/>
    <w:rPr>
      <w:b/>
      <w:bCs/>
    </w:rPr>
  </w:style>
  <w:style w:type="character" w:customStyle="1" w:styleId="Heading7Char">
    <w:name w:val="Heading 7 Char"/>
    <w:basedOn w:val="DefaultParagraphFont"/>
    <w:link w:val="Heading7"/>
    <w:uiPriority w:val="9"/>
    <w:semiHidden/>
    <w:rsid w:val="0033727E"/>
    <w:rPr>
      <w:sz w:val="24"/>
      <w:szCs w:val="24"/>
    </w:rPr>
  </w:style>
  <w:style w:type="character" w:customStyle="1" w:styleId="Heading8Char">
    <w:name w:val="Heading 8 Char"/>
    <w:basedOn w:val="DefaultParagraphFont"/>
    <w:link w:val="Heading8"/>
    <w:uiPriority w:val="9"/>
    <w:semiHidden/>
    <w:rsid w:val="0033727E"/>
    <w:rPr>
      <w:i/>
      <w:iCs/>
      <w:sz w:val="24"/>
      <w:szCs w:val="24"/>
    </w:rPr>
  </w:style>
  <w:style w:type="character" w:customStyle="1" w:styleId="Heading9Char">
    <w:name w:val="Heading 9 Char"/>
    <w:basedOn w:val="DefaultParagraphFont"/>
    <w:link w:val="Heading9"/>
    <w:uiPriority w:val="9"/>
    <w:semiHidden/>
    <w:rsid w:val="0033727E"/>
    <w:rPr>
      <w:rFonts w:asciiTheme="majorHAnsi" w:eastAsiaTheme="majorEastAsia" w:hAnsiTheme="majorHAnsi"/>
    </w:rPr>
  </w:style>
  <w:style w:type="paragraph" w:styleId="Title">
    <w:name w:val="Title"/>
    <w:basedOn w:val="Normal"/>
    <w:next w:val="Normal"/>
    <w:link w:val="TitleChar"/>
    <w:uiPriority w:val="10"/>
    <w:qFormat/>
    <w:rsid w:val="0033727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3727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3727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3727E"/>
    <w:rPr>
      <w:rFonts w:asciiTheme="majorHAnsi" w:eastAsiaTheme="majorEastAsia" w:hAnsiTheme="majorHAnsi"/>
      <w:sz w:val="24"/>
      <w:szCs w:val="24"/>
    </w:rPr>
  </w:style>
  <w:style w:type="character" w:styleId="Strong">
    <w:name w:val="Strong"/>
    <w:basedOn w:val="DefaultParagraphFont"/>
    <w:uiPriority w:val="22"/>
    <w:qFormat/>
    <w:rsid w:val="0033727E"/>
    <w:rPr>
      <w:b/>
      <w:bCs/>
    </w:rPr>
  </w:style>
  <w:style w:type="character" w:styleId="Emphasis">
    <w:name w:val="Emphasis"/>
    <w:basedOn w:val="DefaultParagraphFont"/>
    <w:uiPriority w:val="20"/>
    <w:qFormat/>
    <w:rsid w:val="0033727E"/>
    <w:rPr>
      <w:rFonts w:asciiTheme="minorHAnsi" w:hAnsiTheme="minorHAnsi"/>
      <w:b/>
      <w:i/>
      <w:iCs/>
    </w:rPr>
  </w:style>
  <w:style w:type="paragraph" w:styleId="NoSpacing">
    <w:name w:val="No Spacing"/>
    <w:basedOn w:val="Normal"/>
    <w:uiPriority w:val="1"/>
    <w:qFormat/>
    <w:rsid w:val="0033727E"/>
    <w:rPr>
      <w:szCs w:val="32"/>
    </w:rPr>
  </w:style>
  <w:style w:type="paragraph" w:styleId="ListParagraph">
    <w:name w:val="List Paragraph"/>
    <w:basedOn w:val="Normal"/>
    <w:uiPriority w:val="34"/>
    <w:qFormat/>
    <w:rsid w:val="0033727E"/>
    <w:pPr>
      <w:ind w:left="720"/>
      <w:contextualSpacing/>
    </w:pPr>
  </w:style>
  <w:style w:type="paragraph" w:styleId="Quote">
    <w:name w:val="Quote"/>
    <w:basedOn w:val="Normal"/>
    <w:next w:val="Normal"/>
    <w:link w:val="QuoteChar"/>
    <w:uiPriority w:val="29"/>
    <w:qFormat/>
    <w:rsid w:val="0033727E"/>
    <w:rPr>
      <w:i/>
    </w:rPr>
  </w:style>
  <w:style w:type="character" w:customStyle="1" w:styleId="QuoteChar">
    <w:name w:val="Quote Char"/>
    <w:basedOn w:val="DefaultParagraphFont"/>
    <w:link w:val="Quote"/>
    <w:uiPriority w:val="29"/>
    <w:rsid w:val="0033727E"/>
    <w:rPr>
      <w:i/>
      <w:sz w:val="24"/>
      <w:szCs w:val="24"/>
    </w:rPr>
  </w:style>
  <w:style w:type="paragraph" w:styleId="IntenseQuote">
    <w:name w:val="Intense Quote"/>
    <w:basedOn w:val="Normal"/>
    <w:next w:val="Normal"/>
    <w:link w:val="IntenseQuoteChar"/>
    <w:uiPriority w:val="30"/>
    <w:qFormat/>
    <w:rsid w:val="0033727E"/>
    <w:pPr>
      <w:ind w:left="720" w:right="720"/>
    </w:pPr>
    <w:rPr>
      <w:b/>
      <w:i/>
      <w:szCs w:val="22"/>
    </w:rPr>
  </w:style>
  <w:style w:type="character" w:customStyle="1" w:styleId="IntenseQuoteChar">
    <w:name w:val="Intense Quote Char"/>
    <w:basedOn w:val="DefaultParagraphFont"/>
    <w:link w:val="IntenseQuote"/>
    <w:uiPriority w:val="30"/>
    <w:rsid w:val="0033727E"/>
    <w:rPr>
      <w:b/>
      <w:i/>
      <w:sz w:val="24"/>
    </w:rPr>
  </w:style>
  <w:style w:type="character" w:styleId="SubtleEmphasis">
    <w:name w:val="Subtle Emphasis"/>
    <w:uiPriority w:val="19"/>
    <w:qFormat/>
    <w:rsid w:val="0033727E"/>
    <w:rPr>
      <w:i/>
      <w:color w:val="5A5A5A" w:themeColor="text1" w:themeTint="A5"/>
    </w:rPr>
  </w:style>
  <w:style w:type="character" w:styleId="IntenseEmphasis">
    <w:name w:val="Intense Emphasis"/>
    <w:basedOn w:val="DefaultParagraphFont"/>
    <w:uiPriority w:val="21"/>
    <w:qFormat/>
    <w:rsid w:val="0033727E"/>
    <w:rPr>
      <w:b/>
      <w:i/>
      <w:sz w:val="24"/>
      <w:szCs w:val="24"/>
      <w:u w:val="single"/>
    </w:rPr>
  </w:style>
  <w:style w:type="character" w:styleId="SubtleReference">
    <w:name w:val="Subtle Reference"/>
    <w:basedOn w:val="DefaultParagraphFont"/>
    <w:uiPriority w:val="31"/>
    <w:qFormat/>
    <w:rsid w:val="0033727E"/>
    <w:rPr>
      <w:sz w:val="24"/>
      <w:szCs w:val="24"/>
      <w:u w:val="single"/>
    </w:rPr>
  </w:style>
  <w:style w:type="character" w:styleId="IntenseReference">
    <w:name w:val="Intense Reference"/>
    <w:basedOn w:val="DefaultParagraphFont"/>
    <w:uiPriority w:val="32"/>
    <w:qFormat/>
    <w:rsid w:val="0033727E"/>
    <w:rPr>
      <w:b/>
      <w:sz w:val="24"/>
      <w:u w:val="single"/>
    </w:rPr>
  </w:style>
  <w:style w:type="character" w:styleId="BookTitle">
    <w:name w:val="Book Title"/>
    <w:basedOn w:val="DefaultParagraphFont"/>
    <w:uiPriority w:val="33"/>
    <w:qFormat/>
    <w:rsid w:val="0033727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3727E"/>
    <w:pPr>
      <w:outlineLvl w:val="9"/>
    </w:pPr>
  </w:style>
  <w:style w:type="table" w:styleId="TableGrid">
    <w:name w:val="Table Grid"/>
    <w:basedOn w:val="TableNormal"/>
    <w:uiPriority w:val="59"/>
    <w:rsid w:val="001C3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981975">
      <w:bodyDiv w:val="1"/>
      <w:marLeft w:val="0"/>
      <w:marRight w:val="0"/>
      <w:marTop w:val="0"/>
      <w:marBottom w:val="0"/>
      <w:divBdr>
        <w:top w:val="none" w:sz="0" w:space="0" w:color="auto"/>
        <w:left w:val="none" w:sz="0" w:space="0" w:color="auto"/>
        <w:bottom w:val="none" w:sz="0" w:space="0" w:color="auto"/>
        <w:right w:val="none" w:sz="0" w:space="0" w:color="auto"/>
      </w:divBdr>
    </w:div>
    <w:div w:id="443841261">
      <w:bodyDiv w:val="1"/>
      <w:marLeft w:val="0"/>
      <w:marRight w:val="0"/>
      <w:marTop w:val="0"/>
      <w:marBottom w:val="0"/>
      <w:divBdr>
        <w:top w:val="none" w:sz="0" w:space="0" w:color="auto"/>
        <w:left w:val="none" w:sz="0" w:space="0" w:color="auto"/>
        <w:bottom w:val="none" w:sz="0" w:space="0" w:color="auto"/>
        <w:right w:val="none" w:sz="0" w:space="0" w:color="auto"/>
      </w:divBdr>
    </w:div>
    <w:div w:id="696662702">
      <w:bodyDiv w:val="1"/>
      <w:marLeft w:val="0"/>
      <w:marRight w:val="0"/>
      <w:marTop w:val="0"/>
      <w:marBottom w:val="0"/>
      <w:divBdr>
        <w:top w:val="none" w:sz="0" w:space="0" w:color="auto"/>
        <w:left w:val="none" w:sz="0" w:space="0" w:color="auto"/>
        <w:bottom w:val="none" w:sz="0" w:space="0" w:color="auto"/>
        <w:right w:val="none" w:sz="0" w:space="0" w:color="auto"/>
      </w:divBdr>
    </w:div>
    <w:div w:id="781454727">
      <w:bodyDiv w:val="1"/>
      <w:marLeft w:val="0"/>
      <w:marRight w:val="0"/>
      <w:marTop w:val="0"/>
      <w:marBottom w:val="0"/>
      <w:divBdr>
        <w:top w:val="none" w:sz="0" w:space="0" w:color="auto"/>
        <w:left w:val="none" w:sz="0" w:space="0" w:color="auto"/>
        <w:bottom w:val="none" w:sz="0" w:space="0" w:color="auto"/>
        <w:right w:val="none" w:sz="0" w:space="0" w:color="auto"/>
      </w:divBdr>
    </w:div>
    <w:div w:id="792020528">
      <w:bodyDiv w:val="1"/>
      <w:marLeft w:val="0"/>
      <w:marRight w:val="0"/>
      <w:marTop w:val="0"/>
      <w:marBottom w:val="0"/>
      <w:divBdr>
        <w:top w:val="none" w:sz="0" w:space="0" w:color="auto"/>
        <w:left w:val="none" w:sz="0" w:space="0" w:color="auto"/>
        <w:bottom w:val="none" w:sz="0" w:space="0" w:color="auto"/>
        <w:right w:val="none" w:sz="0" w:space="0" w:color="auto"/>
      </w:divBdr>
    </w:div>
    <w:div w:id="885875816">
      <w:bodyDiv w:val="1"/>
      <w:marLeft w:val="0"/>
      <w:marRight w:val="0"/>
      <w:marTop w:val="0"/>
      <w:marBottom w:val="0"/>
      <w:divBdr>
        <w:top w:val="none" w:sz="0" w:space="0" w:color="auto"/>
        <w:left w:val="none" w:sz="0" w:space="0" w:color="auto"/>
        <w:bottom w:val="none" w:sz="0" w:space="0" w:color="auto"/>
        <w:right w:val="none" w:sz="0" w:space="0" w:color="auto"/>
      </w:divBdr>
    </w:div>
    <w:div w:id="1096366134">
      <w:bodyDiv w:val="1"/>
      <w:marLeft w:val="0"/>
      <w:marRight w:val="0"/>
      <w:marTop w:val="0"/>
      <w:marBottom w:val="0"/>
      <w:divBdr>
        <w:top w:val="none" w:sz="0" w:space="0" w:color="auto"/>
        <w:left w:val="none" w:sz="0" w:space="0" w:color="auto"/>
        <w:bottom w:val="none" w:sz="0" w:space="0" w:color="auto"/>
        <w:right w:val="none" w:sz="0" w:space="0" w:color="auto"/>
      </w:divBdr>
    </w:div>
    <w:div w:id="1476336842">
      <w:bodyDiv w:val="1"/>
      <w:marLeft w:val="0"/>
      <w:marRight w:val="0"/>
      <w:marTop w:val="0"/>
      <w:marBottom w:val="0"/>
      <w:divBdr>
        <w:top w:val="none" w:sz="0" w:space="0" w:color="auto"/>
        <w:left w:val="none" w:sz="0" w:space="0" w:color="auto"/>
        <w:bottom w:val="none" w:sz="0" w:space="0" w:color="auto"/>
        <w:right w:val="none" w:sz="0" w:space="0" w:color="auto"/>
      </w:divBdr>
    </w:div>
    <w:div w:id="1558008003">
      <w:bodyDiv w:val="1"/>
      <w:marLeft w:val="0"/>
      <w:marRight w:val="0"/>
      <w:marTop w:val="0"/>
      <w:marBottom w:val="0"/>
      <w:divBdr>
        <w:top w:val="none" w:sz="0" w:space="0" w:color="auto"/>
        <w:left w:val="none" w:sz="0" w:space="0" w:color="auto"/>
        <w:bottom w:val="none" w:sz="0" w:space="0" w:color="auto"/>
        <w:right w:val="none" w:sz="0" w:space="0" w:color="auto"/>
      </w:divBdr>
    </w:div>
    <w:div w:id="1562011950">
      <w:bodyDiv w:val="1"/>
      <w:marLeft w:val="0"/>
      <w:marRight w:val="0"/>
      <w:marTop w:val="0"/>
      <w:marBottom w:val="0"/>
      <w:divBdr>
        <w:top w:val="none" w:sz="0" w:space="0" w:color="auto"/>
        <w:left w:val="none" w:sz="0" w:space="0" w:color="auto"/>
        <w:bottom w:val="none" w:sz="0" w:space="0" w:color="auto"/>
        <w:right w:val="none" w:sz="0" w:space="0" w:color="auto"/>
      </w:divBdr>
    </w:div>
    <w:div w:id="1673948979">
      <w:bodyDiv w:val="1"/>
      <w:marLeft w:val="0"/>
      <w:marRight w:val="0"/>
      <w:marTop w:val="0"/>
      <w:marBottom w:val="0"/>
      <w:divBdr>
        <w:top w:val="none" w:sz="0" w:space="0" w:color="auto"/>
        <w:left w:val="none" w:sz="0" w:space="0" w:color="auto"/>
        <w:bottom w:val="none" w:sz="0" w:space="0" w:color="auto"/>
        <w:right w:val="none" w:sz="0" w:space="0" w:color="auto"/>
      </w:divBdr>
    </w:div>
    <w:div w:id="1769813156">
      <w:bodyDiv w:val="1"/>
      <w:marLeft w:val="0"/>
      <w:marRight w:val="0"/>
      <w:marTop w:val="0"/>
      <w:marBottom w:val="0"/>
      <w:divBdr>
        <w:top w:val="none" w:sz="0" w:space="0" w:color="auto"/>
        <w:left w:val="none" w:sz="0" w:space="0" w:color="auto"/>
        <w:bottom w:val="none" w:sz="0" w:space="0" w:color="auto"/>
        <w:right w:val="none" w:sz="0" w:space="0" w:color="auto"/>
      </w:divBdr>
    </w:div>
    <w:div w:id="1770470758">
      <w:bodyDiv w:val="1"/>
      <w:marLeft w:val="0"/>
      <w:marRight w:val="0"/>
      <w:marTop w:val="0"/>
      <w:marBottom w:val="0"/>
      <w:divBdr>
        <w:top w:val="none" w:sz="0" w:space="0" w:color="auto"/>
        <w:left w:val="none" w:sz="0" w:space="0" w:color="auto"/>
        <w:bottom w:val="none" w:sz="0" w:space="0" w:color="auto"/>
        <w:right w:val="none" w:sz="0" w:space="0" w:color="auto"/>
      </w:divBdr>
    </w:div>
    <w:div w:id="1901935163">
      <w:bodyDiv w:val="1"/>
      <w:marLeft w:val="0"/>
      <w:marRight w:val="0"/>
      <w:marTop w:val="0"/>
      <w:marBottom w:val="0"/>
      <w:divBdr>
        <w:top w:val="none" w:sz="0" w:space="0" w:color="auto"/>
        <w:left w:val="none" w:sz="0" w:space="0" w:color="auto"/>
        <w:bottom w:val="none" w:sz="0" w:space="0" w:color="auto"/>
        <w:right w:val="none" w:sz="0" w:space="0" w:color="auto"/>
      </w:divBdr>
    </w:div>
    <w:div w:id="2051686910">
      <w:bodyDiv w:val="1"/>
      <w:marLeft w:val="0"/>
      <w:marRight w:val="0"/>
      <w:marTop w:val="0"/>
      <w:marBottom w:val="0"/>
      <w:divBdr>
        <w:top w:val="none" w:sz="0" w:space="0" w:color="auto"/>
        <w:left w:val="none" w:sz="0" w:space="0" w:color="auto"/>
        <w:bottom w:val="none" w:sz="0" w:space="0" w:color="auto"/>
        <w:right w:val="none" w:sz="0" w:space="0" w:color="auto"/>
      </w:divBdr>
    </w:div>
    <w:div w:id="214612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Information Technology Services</cp:lastModifiedBy>
  <cp:revision>7</cp:revision>
  <dcterms:created xsi:type="dcterms:W3CDTF">2009-06-23T13:35:00Z</dcterms:created>
  <dcterms:modified xsi:type="dcterms:W3CDTF">2009-06-24T20:00:00Z</dcterms:modified>
</cp:coreProperties>
</file>